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84"/>
          <w:szCs w:val="84"/>
        </w:rPr>
      </w:pPr>
      <w:r>
        <w:rPr>
          <w:rFonts w:ascii="Times New Roman" w:hAnsi="Times New Roman" w:cs="Times New Roman"/>
          <w:sz w:val="84"/>
          <w:szCs w:val="84"/>
        </w:rPr>
        <w:t>202</w:t>
      </w:r>
      <w:r>
        <w:rPr>
          <w:rFonts w:hint="eastAsia" w:ascii="Times New Roman" w:hAnsi="Times New Roman" w:cs="Times New Roman"/>
          <w:sz w:val="84"/>
          <w:szCs w:val="84"/>
        </w:rPr>
        <w:t>2年三亚市林业局部门预算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eastAsia" w:ascii="Times New Roman" w:hAnsi="Times New Roman" w:eastAsia="黑体" w:cs="Times New Roman"/>
          <w:sz w:val="52"/>
          <w:szCs w:val="52"/>
        </w:rPr>
        <w:t>目录</w:t>
      </w:r>
    </w:p>
    <w:p>
      <w:pPr>
        <w:pStyle w:val="8"/>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三亚市林业局概况</w:t>
      </w:r>
    </w:p>
    <w:p>
      <w:pPr>
        <w:pStyle w:val="8"/>
        <w:numPr>
          <w:ilvl w:val="0"/>
          <w:numId w:val="2"/>
        </w:numPr>
        <w:ind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主要职能</w:t>
      </w:r>
    </w:p>
    <w:p>
      <w:pPr>
        <w:pStyle w:val="8"/>
        <w:numPr>
          <w:ilvl w:val="0"/>
          <w:numId w:val="2"/>
        </w:numPr>
        <w:ind w:firstLineChars="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部门预算单位构成</w:t>
      </w:r>
    </w:p>
    <w:p>
      <w:pPr>
        <w:pStyle w:val="8"/>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2年部门预算表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部门收支总表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部门收入总表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部门支出总表</w:t>
      </w:r>
    </w:p>
    <w:p>
      <w:pPr>
        <w:pStyle w:val="8"/>
        <w:numPr>
          <w:ilvl w:val="0"/>
          <w:numId w:val="3"/>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项目支出绩效信息表</w:t>
      </w:r>
    </w:p>
    <w:p>
      <w:pPr>
        <w:pStyle w:val="8"/>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2年部门预算情况说明</w:t>
      </w:r>
    </w:p>
    <w:p>
      <w:pPr>
        <w:pStyle w:val="8"/>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名词解释</w:t>
      </w: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sectPr>
          <w:footerReference r:id="rId3" w:type="default"/>
          <w:pgSz w:w="11906" w:h="16838"/>
          <w:pgMar w:top="1440" w:right="1800" w:bottom="1440" w:left="1800" w:header="851" w:footer="992" w:gutter="0"/>
          <w:cols w:space="720" w:num="1"/>
          <w:docGrid w:type="lines" w:linePitch="312" w:charSpace="0"/>
        </w:sectPr>
      </w:pPr>
    </w:p>
    <w:p>
      <w:pPr>
        <w:pStyle w:val="8"/>
        <w:ind w:left="1320" w:firstLine="0" w:firstLineChars="0"/>
        <w:jc w:val="left"/>
        <w:rPr>
          <w:rFonts w:ascii="Times New Roman" w:hAnsi="Times New Roman" w:eastAsia="黑体" w:cs="Times New Roman"/>
          <w:sz w:val="32"/>
          <w:szCs w:val="32"/>
        </w:rPr>
      </w:pPr>
    </w:p>
    <w:p>
      <w:pPr>
        <w:pStyle w:val="8"/>
        <w:numPr>
          <w:ilvl w:val="0"/>
          <w:numId w:val="4"/>
        </w:numPr>
        <w:ind w:firstLineChars="0"/>
        <w:jc w:val="center"/>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三亚市林业局概况</w:t>
      </w:r>
    </w:p>
    <w:p>
      <w:pPr>
        <w:jc w:val="left"/>
        <w:rPr>
          <w:rFonts w:ascii="Times New Roman" w:hAnsi="Times New Roman" w:eastAsia="仿宋_GB2312" w:cs="Times New Roman"/>
          <w:sz w:val="32"/>
          <w:szCs w:val="32"/>
        </w:rPr>
      </w:pPr>
    </w:p>
    <w:p>
      <w:pPr>
        <w:pStyle w:val="8"/>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pStyle w:val="8"/>
        <w:ind w:firstLine="640"/>
        <w:rPr>
          <w:rFonts w:ascii="楷体" w:hAnsi="楷体" w:eastAsia="楷体" w:cs="楷体"/>
          <w:sz w:val="32"/>
          <w:szCs w:val="32"/>
        </w:rPr>
      </w:pPr>
      <w:r>
        <w:rPr>
          <w:rFonts w:hint="eastAsia" w:ascii="楷体" w:hAnsi="楷体" w:eastAsia="楷体" w:cs="楷体"/>
          <w:sz w:val="32"/>
          <w:szCs w:val="32"/>
        </w:rPr>
        <w:t>（一）主要职责</w:t>
      </w:r>
    </w:p>
    <w:p>
      <w:pPr>
        <w:pStyle w:val="8"/>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1.贯彻执行党和国家有关林业工作方针、政策、研究拟定措施，报市人民政府批准后组织实施，督促检查贯彻执行情况。</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2.组织和指导全市国营、集体和个人造林育林、护林工作和林木种苗的经营管理。指导协调配合有关部门做好水土保护作。承办市造林绿化的有关工作。</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3.指导协调，检查督促全市花卉工作，培育花卉技术人才，组织协调有关部门制定全市花卉产业政策及发展规划。</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4.调查和管理全市森林资源，组织和指导编制林业区划、造林规划设计和森林经营开花方案，监督森林资源消耗，监测森林环境效益。</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5.负责森林防火、森林病虫害防治检疫和野生动植物的保护工作，加强野生动植物类型的自然保护区的管理，保护、恢复和发展珍稀野生动植物。</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6.负责林业科学研究、林木推广、科技交流和林业的宣传、信息传递工作；组织林业干部的培训、职工教育工作。</w:t>
      </w:r>
    </w:p>
    <w:p>
      <w:pPr>
        <w:ind w:firstLine="640" w:firstLineChars="200"/>
        <w:rPr>
          <w:rFonts w:ascii="楷体" w:hAnsi="楷体" w:eastAsia="楷体" w:cs="楷体"/>
          <w:sz w:val="32"/>
          <w:szCs w:val="32"/>
        </w:rPr>
      </w:pPr>
      <w:r>
        <w:rPr>
          <w:rFonts w:hint="eastAsia" w:ascii="楷体" w:hAnsi="楷体" w:eastAsia="楷体" w:cs="楷体"/>
          <w:sz w:val="32"/>
          <w:szCs w:val="32"/>
        </w:rPr>
        <w:t>（二）各内设机构及相应职责</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1.办公室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机关日常运转工作，承担文电、会务、纪要、档案、信息、安全、保密、信访、政务公开、宣传等工作;承担重要综合性文件和重要报告起草审核工作;负责统计信息、局机关财务核算管理及财务监督管理工作。承担局机关和直属单位的干部人事、机构编制、劳动工资、教育培训和离退休干部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2.生态保护修复科（市绿化委员会办公室）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森林、湿地、荒漠资源动态监测与评价工作，指导、监督、管理生态修复工作，组织实施重点生态保护修复工程，开展退耕(果、塘)还林还湿工作，组织实施各类自然保护地生态修复工程，组织指导植树造林、封山育林和以植树种草等生物措施防治水土流失工作，承担有关应对气候变化及防治荒漠化公约履约工作;指导全市公益林的培育管理和开展林业碳汇工作，指导监督全民义务植树、森林城市、城乡绿化、部门绿化工作，承担古树名木保护管理工作;承办市绿化委员会日常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3.资源管理科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编制全市林地保护利用规划，监督林地保护开发利用，承担征占用林地的审核工作。编制全市森林采伐限额，指导监督林木凭证采伐、运输;组织实施国有森林资源资产有偿使用制度，指导全市森林、湿地、自然保护地等管理保护工作，组织制定生态补偿制度并实施生态补偿工作;指导基层林业部门、护林员队伍的建设和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开展陆生野生动植物资源调查和资源状况评估，负责管理全市陆生野生动植物保护和开发利用工作，研究提出市重点保护陆生野生动植物名录的调整意见，组织指导陆生野生动物疫源疫病监测;组织指导全球野生动植物种质资源引进和中转的储存、转运、抚育、交易、救护、疫源疫病监测工作;监督野生动植物种质资源保护，承担濒危野生动植物等国际贸易公约履约和生物多样性保护相关工作，负责全市国家保护的野生动植物及其产品的出口初审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4.规划和政策法规科（行政审批办公室）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定全市林业发展战略、规划并监督实施。组织开展林业重大问题调查研究，监督林业行政执法和行政许可工作，承担集体林权制度、国有林场等改革相关工作;承担起草林业领域地方性林业法规，政府规章草案及相关文件合法性工作;指导农村林地林木承包经营、流转管理，承担有关行政复议、行政应诉等工作，指导林权纠纷调处和林地承包合同纠纷仲裁;负责相关行政审批工作。负责信用体系建设，承担本系统普法教育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5.改革和产业发展科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报订全市林业产业发展规划并组织实施;指导协调开发森林体验、生态教育等生态服务产品，指导林产品质量监督，指导生态扶贫相关工作，指导国有林场基本建设和发展;承担林木种苗管理工作，组织种质资源调查和资源库建设，组织实施林木种苗生产计划的调剂、储备工作，监督检查林木种苗质量及其生产经营行为，组织林木良种选育、审定、示范、推广，指导林木良种基地、保障性苗圃建设;指导编制森林经营规划和森林经营方案并监督实施;组织指导全市花卉产业发展工作。负责林业产业信息统计工作。组织开展林业科学研究、成果转化和技术推广工作，承担林业科技标准化、质量检验、监测和知识产权等相关工作，组织开展林业信息化工作;监督管理林业生物种质资源、转基因生物安全及植物新品种的保护，组织开展林地土壤污染防治工作，指导林业有害生物的防治、检疫及监测工作;开展林业对外交流与合作，承办涉及港澳台及其他自由贸易区(港)林业事务。</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6.自然保护地科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执行国家、省对各类自然保护地的法律、法规；协助省主管部门监督管理各类自然保护地；协助省主要部门编制各类自然保护地规划；提出各类自然保护地建设项目的初审意见；组织实施自然保护地有偿使用工作；承担世界自然遗产和世界自然与文化双重遗产项目相关工作；负责森林康养项目的相关工作。</w:t>
      </w:r>
    </w:p>
    <w:p>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7.森林防火科</w:t>
      </w:r>
    </w:p>
    <w:p>
      <w:pPr>
        <w:ind w:firstLine="640" w:firstLineChars="200"/>
        <w:rPr>
          <w:rFonts w:ascii="Times New Roman" w:hAnsi="Times New Roman" w:eastAsia="仿宋" w:cs="Times New Roman"/>
          <w:sz w:val="32"/>
          <w:szCs w:val="32"/>
        </w:rPr>
      </w:pPr>
      <w:r>
        <w:rPr>
          <w:rFonts w:hint="eastAsia" w:ascii="仿宋_GB2312" w:hAnsi="仿宋" w:eastAsia="仿宋_GB2312" w:cs="仿宋"/>
          <w:sz w:val="32"/>
          <w:szCs w:val="32"/>
        </w:rPr>
        <w:t>落实综合防灾减灾规划相关要求,组织编制森林火灾防治规划、标准并指导实施;组织指导防火巡护、火源管理、防火设施建设、火情早期处理等工作并监督检查;组织指导各防火责任单位开展宣传教育、监测预警等防火工作;负责行业安全生产相关工作;配合市森林防火指挥部办公室做好相关工作。</w:t>
      </w:r>
    </w:p>
    <w:p>
      <w:pPr>
        <w:pStyle w:val="8"/>
        <w:numPr>
          <w:ilvl w:val="0"/>
          <w:numId w:val="5"/>
        </w:numPr>
        <w:ind w:firstLineChars="0"/>
        <w:jc w:val="left"/>
        <w:rPr>
          <w:rFonts w:ascii="Times New Roman" w:hAnsi="Times New Roman" w:eastAsia="黑体" w:cs="Times New Roman"/>
          <w:sz w:val="32"/>
          <w:szCs w:val="32"/>
        </w:rPr>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pPr>
        <w:pStyle w:val="8"/>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纳入三亚市林业局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2年部门预算编制范围的二级预算单位包括：</w:t>
      </w:r>
    </w:p>
    <w:p>
      <w:pPr>
        <w:pStyle w:val="8"/>
        <w:numPr>
          <w:ilvl w:val="0"/>
          <w:numId w:val="6"/>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三亚市森林病虫害防治检疫站</w:t>
      </w:r>
    </w:p>
    <w:p>
      <w:pPr>
        <w:pStyle w:val="8"/>
        <w:numPr>
          <w:ilvl w:val="0"/>
          <w:numId w:val="6"/>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三亚市林业科学研究院</w:t>
      </w:r>
    </w:p>
    <w:p>
      <w:pPr>
        <w:pStyle w:val="8"/>
        <w:numPr>
          <w:ilvl w:val="0"/>
          <w:numId w:val="6"/>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三亚市三亚林场</w:t>
      </w:r>
    </w:p>
    <w:p>
      <w:pPr>
        <w:pStyle w:val="8"/>
        <w:numPr>
          <w:ilvl w:val="0"/>
          <w:numId w:val="6"/>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三亚市野生动植物保护中心</w:t>
      </w:r>
    </w:p>
    <w:p>
      <w:pPr>
        <w:pStyle w:val="8"/>
        <w:ind w:left="800" w:firstLine="0" w:firstLineChars="0"/>
        <w:jc w:val="left"/>
        <w:rPr>
          <w:rFonts w:ascii="Times New Roman" w:hAnsi="Times New Roman" w:eastAsia="仿宋_GB2312" w:cs="Times New Roman"/>
          <w:sz w:val="32"/>
          <w:szCs w:val="32"/>
        </w:rPr>
      </w:pPr>
    </w:p>
    <w:p>
      <w:pPr>
        <w:rPr>
          <w:rFonts w:ascii="Times New Roman" w:hAnsi="Times New Roman" w:eastAsia="黑体" w:cs="Times New Roman"/>
          <w:sz w:val="32"/>
          <w:szCs w:val="32"/>
        </w:rPr>
      </w:pPr>
    </w:p>
    <w:p>
      <w:pPr>
        <w:ind w:left="800" w:leftChars="381" w:firstLine="480" w:firstLineChars="150"/>
        <w:rPr>
          <w:rFonts w:ascii="Times New Roman" w:hAnsi="Times New Roman" w:eastAsia="黑体" w:cs="Times New Roman"/>
          <w:sz w:val="32"/>
          <w:szCs w:val="32"/>
        </w:rPr>
      </w:pPr>
      <w:r>
        <w:rPr>
          <w:rFonts w:hint="eastAsia" w:ascii="Times New Roman" w:hAnsi="Times New Roman" w:eastAsia="黑体" w:cs="Times New Roman"/>
          <w:sz w:val="32"/>
          <w:szCs w:val="32"/>
        </w:rPr>
        <w:t>第二部分三亚市林业局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2年部门预算表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（此部分内容即为部门预算公开表）</w:t>
      </w:r>
    </w:p>
    <w:p>
      <w:pP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第三部分三亚市林业局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一、关于三亚市林业局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 年财政拨款收支总预算</w:t>
      </w:r>
      <w:r>
        <w:rPr>
          <w:rFonts w:ascii="Times New Roman" w:hAnsi="Times New Roman" w:eastAsia="仿宋_GB2312" w:cs="Times New Roman"/>
          <w:sz w:val="32"/>
          <w:szCs w:val="32"/>
        </w:rPr>
        <w:t>39604.92</w:t>
      </w:r>
      <w:r>
        <w:rPr>
          <w:rFonts w:hint="eastAsia" w:ascii="Times New Roman" w:hAnsi="Times New Roman" w:eastAsia="仿宋_GB2312" w:cs="Times New Roman"/>
          <w:sz w:val="32"/>
          <w:szCs w:val="32"/>
        </w:rPr>
        <w:t>万元。其中，收入总计</w:t>
      </w:r>
      <w:r>
        <w:rPr>
          <w:rFonts w:ascii="Times New Roman" w:hAnsi="Times New Roman" w:eastAsia="仿宋_GB2312" w:cs="Times New Roman"/>
          <w:sz w:val="32"/>
          <w:szCs w:val="32"/>
        </w:rPr>
        <w:t>39604.92</w:t>
      </w:r>
      <w:r>
        <w:rPr>
          <w:rFonts w:hint="eastAsia" w:ascii="Times New Roman" w:hAnsi="Times New Roman" w:eastAsia="仿宋_GB2312" w:cs="Times New Roman"/>
          <w:sz w:val="32"/>
          <w:szCs w:val="32"/>
        </w:rPr>
        <w:t>万元，包括一般公共预算本年收</w:t>
      </w:r>
      <w:r>
        <w:rPr>
          <w:rFonts w:ascii="Times New Roman" w:hAnsi="Times New Roman" w:eastAsia="仿宋_GB2312" w:cs="Times New Roman"/>
          <w:sz w:val="32"/>
          <w:szCs w:val="32"/>
        </w:rPr>
        <w:t>39604.92</w:t>
      </w:r>
      <w:r>
        <w:rPr>
          <w:rFonts w:hint="eastAsia" w:ascii="Times New Roman" w:hAnsi="Times New Roman" w:eastAsia="仿宋_GB2312" w:cs="Times New Roman"/>
          <w:sz w:val="32"/>
          <w:szCs w:val="32"/>
        </w:rPr>
        <w:t>万元，上年结转一般公共预算拨款12300.73万元；支出总计</w:t>
      </w:r>
      <w:r>
        <w:rPr>
          <w:rFonts w:ascii="Times New Roman" w:hAnsi="Times New Roman" w:eastAsia="仿宋_GB2312" w:cs="Times New Roman"/>
          <w:sz w:val="32"/>
          <w:szCs w:val="32"/>
        </w:rPr>
        <w:t>39604.92</w:t>
      </w:r>
      <w:r>
        <w:rPr>
          <w:rFonts w:hint="eastAsia" w:ascii="Times New Roman" w:hAnsi="Times New Roman" w:eastAsia="仿宋_GB2312" w:cs="Times New Roman"/>
          <w:sz w:val="32"/>
          <w:szCs w:val="32"/>
        </w:rPr>
        <w:t>万元，包括一般公共预算：社会保障和就业支出214.73万元、卫生健康支出146.18万元、 节能环保支出</w:t>
      </w:r>
      <w:r>
        <w:rPr>
          <w:rFonts w:ascii="Times New Roman" w:hAnsi="Times New Roman" w:eastAsia="仿宋_GB2312" w:cs="Times New Roman"/>
          <w:sz w:val="32"/>
          <w:szCs w:val="32"/>
        </w:rPr>
        <w:t>9955</w:t>
      </w:r>
      <w:r>
        <w:rPr>
          <w:rFonts w:hint="eastAsia" w:ascii="Times New Roman" w:hAnsi="Times New Roman" w:eastAsia="仿宋_GB2312" w:cs="Times New Roman"/>
          <w:sz w:val="32"/>
          <w:szCs w:val="32"/>
        </w:rPr>
        <w:t>万元、 农林水支出</w:t>
      </w:r>
      <w:r>
        <w:rPr>
          <w:rFonts w:ascii="Times New Roman" w:hAnsi="Times New Roman" w:eastAsia="仿宋_GB2312" w:cs="Times New Roman"/>
          <w:sz w:val="32"/>
          <w:szCs w:val="32"/>
        </w:rPr>
        <w:t>26410.21</w:t>
      </w:r>
      <w:r>
        <w:rPr>
          <w:rFonts w:hint="eastAsia" w:ascii="Times New Roman" w:hAnsi="Times New Roman" w:eastAsia="仿宋_GB2312" w:cs="Times New Roman"/>
          <w:sz w:val="32"/>
          <w:szCs w:val="32"/>
        </w:rPr>
        <w:t>万元、 自然资源海洋气象等支出</w:t>
      </w:r>
      <w:r>
        <w:rPr>
          <w:rFonts w:ascii="Times New Roman" w:hAnsi="Times New Roman" w:eastAsia="仿宋_GB2312" w:cs="Times New Roman"/>
          <w:sz w:val="32"/>
          <w:szCs w:val="32"/>
        </w:rPr>
        <w:t>1917.62</w:t>
      </w:r>
      <w:r>
        <w:rPr>
          <w:rFonts w:hint="eastAsia" w:ascii="Times New Roman" w:hAnsi="Times New Roman" w:eastAsia="仿宋_GB2312" w:cs="Times New Roman"/>
          <w:sz w:val="32"/>
          <w:szCs w:val="32"/>
        </w:rPr>
        <w:t>万元、住房保障支出</w:t>
      </w:r>
      <w:r>
        <w:rPr>
          <w:rFonts w:ascii="Times New Roman" w:hAnsi="Times New Roman" w:eastAsia="仿宋_GB2312" w:cs="Times New Roman"/>
          <w:sz w:val="32"/>
          <w:szCs w:val="32"/>
        </w:rPr>
        <w:t>104.82</w:t>
      </w:r>
      <w:r>
        <w:rPr>
          <w:rFonts w:hint="eastAsia" w:ascii="Times New Roman" w:hAnsi="Times New Roman" w:eastAsia="仿宋_GB2312" w:cs="Times New Roman"/>
          <w:sz w:val="32"/>
          <w:szCs w:val="32"/>
        </w:rPr>
        <w:t>万元；政府性基金预算：城乡社区支出</w:t>
      </w:r>
      <w:r>
        <w:rPr>
          <w:rFonts w:ascii="Times New Roman" w:hAnsi="Times New Roman" w:eastAsia="仿宋_GB2312" w:cs="Times New Roman"/>
          <w:sz w:val="32"/>
          <w:szCs w:val="32"/>
        </w:rPr>
        <w:t>856.34</w:t>
      </w:r>
      <w:r>
        <w:rPr>
          <w:rFonts w:hint="eastAsia"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二、关于三亚市林业局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2年一般公共预算当年拨款情况说明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2年一般公共预算当年拨款</w:t>
      </w:r>
      <w:r>
        <w:rPr>
          <w:rFonts w:ascii="Times New Roman" w:hAnsi="Times New Roman" w:eastAsia="仿宋_GB2312" w:cs="Times New Roman"/>
          <w:sz w:val="32"/>
          <w:szCs w:val="32"/>
        </w:rPr>
        <w:t>38748.57</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8083.32万元，工作调整需要，项目增加。</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社会保障和就业（类）支出214.73万元，占 0.55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；卫生健康（类）支出146.18元，占0.38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；节能环保（类）支出</w:t>
      </w:r>
      <w:r>
        <w:rPr>
          <w:rFonts w:ascii="Times New Roman" w:hAnsi="Times New Roman" w:eastAsia="仿宋_GB2312" w:cs="Times New Roman"/>
          <w:sz w:val="32"/>
          <w:szCs w:val="32"/>
        </w:rPr>
        <w:t>9955</w:t>
      </w:r>
      <w:r>
        <w:rPr>
          <w:rFonts w:hint="eastAsia" w:ascii="Times New Roman" w:hAnsi="Times New Roman" w:eastAsia="仿宋_GB2312" w:cs="Times New Roman"/>
          <w:sz w:val="32"/>
          <w:szCs w:val="32"/>
        </w:rPr>
        <w:t>万元，占 25.69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；农林水（类）支出</w:t>
      </w:r>
      <w:r>
        <w:rPr>
          <w:rFonts w:ascii="Times New Roman" w:hAnsi="Times New Roman" w:eastAsia="仿宋_GB2312" w:cs="Times New Roman"/>
          <w:sz w:val="32"/>
          <w:szCs w:val="32"/>
        </w:rPr>
        <w:t>26410.21</w:t>
      </w:r>
      <w:r>
        <w:rPr>
          <w:rFonts w:hint="eastAsia" w:ascii="Times New Roman" w:hAnsi="Times New Roman" w:eastAsia="仿宋_GB2312" w:cs="Times New Roman"/>
          <w:sz w:val="32"/>
          <w:szCs w:val="32"/>
        </w:rPr>
        <w:t>万元，占68.16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；自然资源海洋气象等（类）支出</w:t>
      </w:r>
      <w:r>
        <w:rPr>
          <w:rFonts w:ascii="Times New Roman" w:hAnsi="Times New Roman" w:eastAsia="仿宋_GB2312" w:cs="Times New Roman"/>
          <w:sz w:val="32"/>
          <w:szCs w:val="32"/>
        </w:rPr>
        <w:t>1917.62</w:t>
      </w:r>
      <w:r>
        <w:rPr>
          <w:rFonts w:hint="eastAsia" w:ascii="Times New Roman" w:hAnsi="Times New Roman" w:eastAsia="仿宋_GB2312" w:cs="Times New Roman"/>
          <w:sz w:val="32"/>
          <w:szCs w:val="32"/>
        </w:rPr>
        <w:t xml:space="preserve">万元，占4.95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；住房保障（类）支出</w:t>
      </w:r>
      <w:r>
        <w:rPr>
          <w:rFonts w:ascii="Times New Roman" w:hAnsi="Times New Roman" w:eastAsia="仿宋_GB2312" w:cs="Times New Roman"/>
          <w:sz w:val="32"/>
          <w:szCs w:val="32"/>
        </w:rPr>
        <w:t>104.82</w:t>
      </w:r>
      <w:r>
        <w:rPr>
          <w:rFonts w:hint="eastAsia" w:ascii="Times New Roman" w:hAnsi="Times New Roman" w:eastAsia="仿宋_GB2312" w:cs="Times New Roman"/>
          <w:sz w:val="32"/>
          <w:szCs w:val="32"/>
        </w:rPr>
        <w:t>万元，占0.27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ind w:firstLine="640" w:firstLineChars="20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行政事业单位养老支出（款）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行政单位离退休（项）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2年预算数为14.84万元，与上年预算数减少0.41万元，主要人员减少调整。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机关事业单位基本养老保险缴费支出（项）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2年预算数为136.83</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万元，比上年预算数增加13.85万元，主要人员增加及工资调整。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 xml:space="preserve">56.02 </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56.02</w:t>
      </w:r>
      <w:r>
        <w:rPr>
          <w:rFonts w:hint="eastAsia" w:ascii="Times New Roman" w:hAnsi="Times New Roman" w:eastAsia="仿宋_GB2312" w:cs="Times New Roman"/>
          <w:sz w:val="32"/>
          <w:szCs w:val="32"/>
        </w:rPr>
        <w:t>万元，主要是人员待遇调整。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抚恤（款）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其他优抚支出（项）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2年预算数为7.05万元，比上年预算数减少1.76万元，主要是人员待遇调整。</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卫生健康支出（类）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行政事业单位医疗（款）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行政单位医疗（项）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2年预算数为31.44万元，比上年预算数增加1.27万元，主要是核算调整。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事业单位医疗（项）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2年预算数为30.44万元，比上年预算数增加26.74万元，主要是核算调整。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公务员医疗补助（项）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2年预算数为84.41万元，比上年预算数增加12.48万元，主要是核算调整。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3.节能环保支出（类）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自然生态保护（款）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生态保护（项）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9955</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9955</w:t>
      </w:r>
      <w:r>
        <w:rPr>
          <w:rFonts w:hint="eastAsia" w:ascii="Times New Roman" w:hAnsi="Times New Roman" w:eastAsia="仿宋_GB2312" w:cs="Times New Roman"/>
          <w:sz w:val="32"/>
          <w:szCs w:val="32"/>
        </w:rPr>
        <w:t>万元，主要是项目经费增加。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农林水支出（类）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农业农村（款）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农业资源保护修复与利用（项）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280</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280</w:t>
      </w:r>
      <w:r>
        <w:rPr>
          <w:rFonts w:hint="eastAsia" w:ascii="Times New Roman" w:hAnsi="Times New Roman" w:eastAsia="仿宋_GB2312" w:cs="Times New Roman"/>
          <w:sz w:val="32"/>
          <w:szCs w:val="32"/>
        </w:rPr>
        <w:t>万元，主要是项目经费增加。</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林业和草原（款）</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行政运行（项）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653.48</w:t>
      </w:r>
      <w:r>
        <w:rPr>
          <w:rFonts w:hint="eastAsia" w:ascii="Times New Roman" w:hAnsi="Times New Roman" w:eastAsia="仿宋_GB2312" w:cs="Times New Roman"/>
          <w:sz w:val="32"/>
          <w:szCs w:val="32"/>
        </w:rPr>
        <w:t>万元，比上年预算数减少143.21万元，主要是预算所属归类有所调整。</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一般行政管理事务（项）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2年预算数为167万元，比上年预算增加167万元，主要是预算所属归类有所调整。</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事业机构（项）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658.08</w:t>
      </w:r>
      <w:r>
        <w:rPr>
          <w:rFonts w:hint="eastAsia" w:ascii="Times New Roman" w:hAnsi="Times New Roman" w:eastAsia="仿宋_GB2312" w:cs="Times New Roman"/>
          <w:sz w:val="32"/>
          <w:szCs w:val="32"/>
        </w:rPr>
        <w:t>万元，比上年预算数减少44.2万元，主要是预算所属归类有所调整。</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森林资源培育（项）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735</w:t>
      </w:r>
      <w:r>
        <w:rPr>
          <w:rFonts w:hint="eastAsia" w:ascii="Times New Roman" w:hAnsi="Times New Roman" w:eastAsia="仿宋_GB2312" w:cs="Times New Roman"/>
          <w:sz w:val="32"/>
          <w:szCs w:val="32"/>
        </w:rPr>
        <w:t>万元，比上年预算数减少1</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万元，主要是项目经费减少。</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森林资源管理（项）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981.45</w:t>
      </w:r>
      <w:r>
        <w:rPr>
          <w:rFonts w:hint="eastAsia" w:ascii="Times New Roman" w:hAnsi="Times New Roman" w:eastAsia="仿宋_GB2312" w:cs="Times New Roman"/>
          <w:sz w:val="32"/>
          <w:szCs w:val="32"/>
        </w:rPr>
        <w:t>万元，比上年预算数增加613.49万元，主要是项目经费增加。</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森林生态效益补偿（项）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1643.5</w:t>
      </w:r>
      <w:r>
        <w:rPr>
          <w:rFonts w:hint="eastAsia" w:ascii="Times New Roman" w:hAnsi="Times New Roman" w:eastAsia="仿宋_GB2312" w:cs="Times New Roman"/>
          <w:sz w:val="32"/>
          <w:szCs w:val="32"/>
        </w:rPr>
        <w:t>万元，比上年预算数减少2570.74万元，主要是该项目调整为转移性支付项目，部分金额由财政局直接预拨给各区。</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动植物保护（项）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104</w:t>
      </w:r>
      <w:r>
        <w:rPr>
          <w:rFonts w:hint="eastAsia" w:ascii="Times New Roman" w:hAnsi="Times New Roman" w:eastAsia="仿宋_GB2312" w:cs="Times New Roman"/>
          <w:sz w:val="32"/>
          <w:szCs w:val="32"/>
        </w:rPr>
        <w:t>万元，比上年预算数减少64万元，主要是工作调整需要，项目增加。</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湿地保护（项）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2年预算数为66万元，比上年预算数减少130万元，主要是工作项目经费减少。</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执法与监督（项）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2年预算数为30万元，比上年预算数增加2万元，主要是项目经费增加。</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林业对外合作与交流（项）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51</w:t>
      </w:r>
      <w:r>
        <w:rPr>
          <w:rFonts w:hint="eastAsia" w:ascii="Times New Roman" w:hAnsi="Times New Roman" w:eastAsia="仿宋_GB2312" w:cs="Times New Roman"/>
          <w:sz w:val="32"/>
          <w:szCs w:val="32"/>
        </w:rPr>
        <w:t>万元，比上年预算数减少1309万元，主要是项目内容减少。</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产业化管理（项）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万元，比上年预算数减少6.32万元，主要是工作经费减少。</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林业草原防灾减灾（项）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2年预算数为319.7万元，比上年预算数增加225.27万元，主要是以前年度防火工程尾款的支付。</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其他林业和草原支出（项）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20631</w:t>
      </w:r>
      <w:r>
        <w:rPr>
          <w:rFonts w:hint="eastAsia" w:ascii="Times New Roman" w:hAnsi="Times New Roman" w:eastAsia="仿宋_GB2312" w:cs="Times New Roman"/>
          <w:sz w:val="32"/>
          <w:szCs w:val="32"/>
        </w:rPr>
        <w:t>万元，比上年预算数增加19027.9万元，主要是预算所属归类有所调整，相应项目增加。</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hint="eastAsia"/>
        </w:rPr>
        <w:t xml:space="preserve"> </w:t>
      </w:r>
      <w:r>
        <w:rPr>
          <w:rFonts w:hint="eastAsia" w:ascii="Times New Roman" w:hAnsi="Times New Roman" w:eastAsia="仿宋_GB2312" w:cs="Times New Roman"/>
          <w:sz w:val="32"/>
          <w:szCs w:val="32"/>
        </w:rPr>
        <w:t>自然资源海洋气象等支出（类）</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自然资源事务（款）</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自然资源利用与保护（项）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1917.62</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1917.62</w:t>
      </w:r>
      <w:r>
        <w:rPr>
          <w:rFonts w:hint="eastAsia" w:ascii="Times New Roman" w:hAnsi="Times New Roman" w:eastAsia="仿宋_GB2312" w:cs="Times New Roman"/>
          <w:sz w:val="32"/>
          <w:szCs w:val="32"/>
        </w:rPr>
        <w:t>万元，主要是预算所属归类有所调整，相应项目增加。</w:t>
      </w:r>
    </w:p>
    <w:p>
      <w:pPr>
        <w:ind w:left="8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住房改革支出（款）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住房公积金（项）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104.82</w:t>
      </w:r>
      <w:r>
        <w:rPr>
          <w:rFonts w:hint="eastAsia" w:ascii="Times New Roman" w:hAnsi="Times New Roman" w:eastAsia="仿宋_GB2312" w:cs="Times New Roman"/>
          <w:sz w:val="32"/>
          <w:szCs w:val="32"/>
        </w:rPr>
        <w:t>万元，比上年预算数增加49.01万元，主要是人员待遇调整。</w:t>
      </w:r>
    </w:p>
    <w:p>
      <w:pPr>
        <w:ind w:firstLine="640"/>
        <w:rPr>
          <w:rFonts w:ascii="Times New Roman" w:hAnsi="Times New Roman" w:eastAsia="黑体" w:cs="Times New Roman"/>
          <w:sz w:val="32"/>
          <w:szCs w:val="32"/>
        </w:rPr>
      </w:pPr>
      <w:r>
        <w:rPr>
          <w:rFonts w:hint="eastAsia" w:ascii="Times New Roman" w:hAnsi="Times New Roman" w:eastAsia="黑体" w:cs="Times New Roman"/>
          <w:sz w:val="32"/>
          <w:szCs w:val="32"/>
        </w:rPr>
        <w:t>三、关于三亚市林业局</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2年一般公共预算基本支出情况说明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2年一般公共预算基本支出为</w:t>
      </w:r>
      <w:r>
        <w:rPr>
          <w:rFonts w:ascii="Times New Roman" w:hAnsi="Times New Roman" w:eastAsia="仿宋_GB2312" w:cs="Times New Roman"/>
          <w:sz w:val="32"/>
          <w:szCs w:val="32"/>
        </w:rPr>
        <w:t>1777.3</w:t>
      </w:r>
      <w:r>
        <w:rPr>
          <w:rFonts w:hint="eastAsia"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w:t>
      </w:r>
      <w:r>
        <w:rPr>
          <w:rFonts w:ascii="Times New Roman" w:hAnsi="Times New Roman" w:eastAsia="仿宋_GB2312" w:cs="Times New Roman"/>
          <w:sz w:val="32"/>
          <w:szCs w:val="32"/>
        </w:rPr>
        <w:t>1650.02</w:t>
      </w:r>
      <w:r>
        <w:rPr>
          <w:rFonts w:hint="eastAsia" w:ascii="Times New Roman" w:hAnsi="Times New Roman" w:eastAsia="仿宋_GB2312" w:cs="Times New Roman"/>
          <w:sz w:val="32"/>
          <w:szCs w:val="32"/>
        </w:rPr>
        <w:t>万元，主要包括：基本工资、津贴补贴、奖金、绩效工资、机关事业单位基本养老保险缴费、城镇职工基本医疗保险缴费、公务员医疗补助缴费、其他社会保障缴费、住房公积金、离休费、生活补助和奖励金、其他交通费用、其他工资福利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w:t>
      </w:r>
      <w:r>
        <w:rPr>
          <w:rFonts w:ascii="Times New Roman" w:hAnsi="Times New Roman" w:eastAsia="仿宋_GB2312" w:cs="Times New Roman"/>
          <w:sz w:val="32"/>
          <w:szCs w:val="32"/>
        </w:rPr>
        <w:t>127.28</w:t>
      </w:r>
      <w:r>
        <w:rPr>
          <w:rFonts w:hint="eastAsia" w:ascii="Times New Roman" w:hAnsi="Times New Roman" w:eastAsia="仿宋_GB2312" w:cs="Times New Roman"/>
          <w:sz w:val="32"/>
          <w:szCs w:val="32"/>
        </w:rPr>
        <w:t>万元，主要包括：办公费、会议费、培训费、公务接待费、工会经费、福利费、公务用车运行维护费、其他商品和服务支出。</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四、三亚市林业局</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2年</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三公</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经费预算情况说明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w:t>
      </w:r>
      <w:r>
        <w:rPr>
          <w:rFonts w:ascii="Times New Roman" w:hAnsi="Times New Roman" w:eastAsia="仿宋_GB2312" w:cs="Times New Roman"/>
          <w:sz w:val="32"/>
          <w:szCs w:val="32"/>
        </w:rPr>
        <w:t>6.58</w:t>
      </w:r>
      <w:r>
        <w:rPr>
          <w:rFonts w:hint="eastAsia" w:ascii="Times New Roman" w:hAnsi="Times New Roman" w:eastAsia="仿宋_GB2312" w:cs="Times New Roman"/>
          <w:sz w:val="32"/>
          <w:szCs w:val="32"/>
        </w:rPr>
        <w:t>万元，其中：</w:t>
      </w:r>
    </w:p>
    <w:p>
      <w:pPr>
        <w:ind w:firstLine="630"/>
        <w:rPr>
          <w:rFonts w:hint="eastAsia" w:ascii="Times New Roman" w:hAnsi="Times New Roman" w:eastAsia="仿宋_GB2312" w:cs="Times New Roman"/>
          <w:sz w:val="32"/>
          <w:highlight w:val="none"/>
          <w:shd w:val="clear" w:color="auto" w:fill="FFFFFF"/>
          <w:lang w:val="en-US" w:eastAsia="zh-CN"/>
        </w:rPr>
      </w:pP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，与上年预算持平。拟安排出国（境）团（组）</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次，出国（境）</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人。公务用车购置及运行费</w:t>
      </w:r>
      <w:r>
        <w:rPr>
          <w:rFonts w:ascii="Times New Roman" w:hAnsi="Times New Roman" w:eastAsia="仿宋_GB2312" w:cs="Times New Roman"/>
          <w:sz w:val="32"/>
          <w:szCs w:val="32"/>
        </w:rPr>
        <w:t>5.28</w:t>
      </w:r>
      <w:r>
        <w:rPr>
          <w:rFonts w:hint="eastAsia" w:ascii="Times New Roman" w:hAnsi="Times New Roman" w:eastAsia="仿宋_GB2312" w:cs="Times New Roman"/>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5.28</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zCs w:val="32"/>
          <w:highlight w:val="none"/>
        </w:rPr>
        <w:t>公务接待费</w:t>
      </w:r>
      <w:r>
        <w:rPr>
          <w:rFonts w:ascii="Times New Roman" w:hAnsi="Times New Roman" w:eastAsia="仿宋_GB2312" w:cs="Times New Roman"/>
          <w:sz w:val="32"/>
          <w:szCs w:val="32"/>
          <w:highlight w:val="none"/>
        </w:rPr>
        <w:t>1.3</w:t>
      </w:r>
      <w:r>
        <w:rPr>
          <w:rFonts w:hint="eastAsia" w:ascii="Times New Roman" w:hAnsi="Times New Roman" w:eastAsia="仿宋_GB2312" w:cs="Times New Roman"/>
          <w:sz w:val="32"/>
          <w:highlight w:val="none"/>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，接待</w:t>
      </w:r>
      <w:r>
        <w:rPr>
          <w:rFonts w:hint="eastAsia" w:ascii="Times New Roman" w:hAnsi="Times New Roman" w:eastAsia="仿宋_GB2312" w:cs="Times New Roman"/>
          <w:sz w:val="32"/>
          <w:highlight w:val="none"/>
          <w:shd w:val="clear" w:color="auto" w:fill="FFFFFF"/>
          <w:lang w:val="en-US" w:eastAsia="zh-CN"/>
        </w:rPr>
        <w:t>5批100人。</w:t>
      </w:r>
      <w:bookmarkStart w:id="0" w:name="_GoBack"/>
      <w:bookmarkEnd w:id="0"/>
    </w:p>
    <w:p>
      <w:pPr>
        <w:ind w:firstLine="630"/>
        <w:rPr>
          <w:rFonts w:hint="default" w:ascii="Times New Roman" w:hAnsi="Times New Roman" w:eastAsia="仿宋_GB2312" w:cs="Times New Roman"/>
          <w:sz w:val="32"/>
          <w:highlight w:val="none"/>
          <w:shd w:val="clear" w:color="auto" w:fill="FFFFFF"/>
          <w:lang w:val="en-US" w:eastAsia="zh-CN"/>
        </w:rPr>
      </w:pPr>
      <w:r>
        <w:rPr>
          <w:rFonts w:hint="eastAsia" w:ascii="Times New Roman" w:hAnsi="Times New Roman" w:eastAsia="仿宋_GB2312" w:cs="Times New Roman"/>
          <w:sz w:val="32"/>
          <w:highlight w:val="none"/>
          <w:shd w:val="clear" w:color="auto" w:fill="FFFFFF"/>
          <w:lang w:val="en-US" w:eastAsia="zh-CN"/>
        </w:rPr>
        <w:t>（二）三亚市林业局2022年政府性基金预算“三公”经费预算数为0万元，与上年预算持平。</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五、关于三亚市林业局</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2年政府性基金预算当年拨款情况说明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2年政府性基金预算当年拨款</w:t>
      </w:r>
      <w:r>
        <w:rPr>
          <w:rFonts w:ascii="Times New Roman" w:hAnsi="Times New Roman" w:eastAsia="仿宋_GB2312" w:cs="Times New Roman"/>
          <w:sz w:val="32"/>
          <w:szCs w:val="32"/>
        </w:rPr>
        <w:t>856.34</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856.34</w:t>
      </w:r>
      <w:r>
        <w:rPr>
          <w:rFonts w:hint="eastAsia" w:ascii="Times New Roman" w:hAnsi="Times New Roman" w:eastAsia="仿宋_GB2312" w:cs="Times New Roman"/>
          <w:sz w:val="32"/>
          <w:szCs w:val="32"/>
        </w:rPr>
        <w:t>万元，主要是预算所属归类有所调整，相应项目增加。</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城乡社区（类）支出</w:t>
      </w:r>
      <w:r>
        <w:rPr>
          <w:rFonts w:ascii="Times New Roman" w:hAnsi="Times New Roman" w:eastAsia="仿宋_GB2312" w:cs="Times New Roman"/>
          <w:sz w:val="32"/>
          <w:szCs w:val="32"/>
        </w:rPr>
        <w:t>856.34</w:t>
      </w:r>
      <w:r>
        <w:rPr>
          <w:rFonts w:hint="eastAsia" w:ascii="Times New Roman" w:hAnsi="Times New Roman" w:eastAsia="仿宋_GB2312" w:cs="Times New Roman"/>
          <w:sz w:val="32"/>
          <w:szCs w:val="32"/>
        </w:rPr>
        <w:t xml:space="preserve">万元，占100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城乡社区支出（类）</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国有土地使用权出让收入安排的支出（款）</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城市建设支出（项）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293.84</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293.84</w:t>
      </w:r>
      <w:r>
        <w:rPr>
          <w:rFonts w:hint="eastAsia" w:ascii="Times New Roman" w:hAnsi="Times New Roman" w:eastAsia="仿宋_GB2312" w:cs="Times New Roman"/>
          <w:sz w:val="32"/>
          <w:szCs w:val="32"/>
        </w:rPr>
        <w:t>万元，主要是预算所属归类有所调整，相应项目增加。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其他国有土地使用权出让收入安排的支出（项）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ascii="Times New Roman" w:hAnsi="Times New Roman" w:eastAsia="仿宋_GB2312" w:cs="Times New Roman"/>
          <w:sz w:val="32"/>
          <w:szCs w:val="32"/>
        </w:rPr>
        <w:t>562.5</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562.5</w:t>
      </w:r>
      <w:r>
        <w:rPr>
          <w:rFonts w:hint="eastAsia" w:ascii="Times New Roman" w:hAnsi="Times New Roman" w:eastAsia="仿宋_GB2312" w:cs="Times New Roman"/>
          <w:sz w:val="32"/>
          <w:szCs w:val="32"/>
        </w:rPr>
        <w:t>万元，主要是预算所属归类有所调整，相应项目增加。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六、关于三亚市林业局</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2年收支预算情况的总体说明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按照综合预算原则，三亚市林业局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2年所有收入和支出均纳入部门预算管理。收入包括：一般公共预算收入、政府性基金预算收入、上年结转一般公共预算拨款；支出包括一般公共预算支出：社会保障和就业支出、卫生健康支出、 节能环保支出、 农林水支出、 自然资源海洋气象等支出、住房保障支出；政府性基金预算支出：城乡社区支出。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2年收支总预算</w:t>
      </w:r>
      <w:r>
        <w:rPr>
          <w:rFonts w:ascii="Times New Roman" w:hAnsi="Times New Roman" w:eastAsia="仿宋_GB2312" w:cs="Times New Roman"/>
          <w:sz w:val="32"/>
          <w:szCs w:val="32"/>
        </w:rPr>
        <w:t>39887.4</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七、关于三亚市林业局</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2年收入预算</w:t>
      </w:r>
      <w:r>
        <w:rPr>
          <w:rFonts w:ascii="Times New Roman" w:hAnsi="Times New Roman" w:eastAsia="仿宋_GB2312" w:cs="Times New Roman"/>
          <w:sz w:val="32"/>
          <w:szCs w:val="32"/>
        </w:rPr>
        <w:t>39887.4</w:t>
      </w:r>
      <w:r>
        <w:rPr>
          <w:rFonts w:hint="eastAsia" w:ascii="Times New Roman" w:hAnsi="Times New Roman" w:eastAsia="仿宋_GB2312" w:cs="Times New Roman"/>
          <w:sz w:val="32"/>
          <w:szCs w:val="32"/>
        </w:rPr>
        <w:t>万元，其中：一般公共预算拨款收入</w:t>
      </w:r>
      <w:r>
        <w:rPr>
          <w:rFonts w:ascii="Times New Roman" w:hAnsi="Times New Roman" w:eastAsia="仿宋_GB2312" w:cs="Times New Roman"/>
          <w:sz w:val="32"/>
          <w:szCs w:val="32"/>
        </w:rPr>
        <w:t>27304.19</w:t>
      </w:r>
      <w:r>
        <w:rPr>
          <w:rFonts w:hint="eastAsia" w:ascii="Times New Roman" w:hAnsi="Times New Roman" w:eastAsia="仿宋_GB2312" w:cs="Times New Roman"/>
          <w:sz w:val="32"/>
          <w:szCs w:val="32"/>
        </w:rPr>
        <w:t>万元，占68.45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；其他收入</w:t>
      </w:r>
      <w:r>
        <w:rPr>
          <w:rFonts w:ascii="Times New Roman" w:hAnsi="Times New Roman" w:eastAsia="仿宋_GB2312" w:cs="Times New Roman"/>
          <w:sz w:val="32"/>
          <w:szCs w:val="32"/>
        </w:rPr>
        <w:t>282.48</w:t>
      </w:r>
      <w:r>
        <w:rPr>
          <w:rFonts w:hint="eastAsia" w:ascii="Times New Roman" w:hAnsi="Times New Roman" w:eastAsia="仿宋_GB2312" w:cs="Times New Roman"/>
          <w:sz w:val="32"/>
          <w:szCs w:val="32"/>
        </w:rPr>
        <w:t>万元，占0.71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；上年结转一般公共预算拨款</w:t>
      </w:r>
      <w:r>
        <w:rPr>
          <w:rFonts w:ascii="Times New Roman" w:hAnsi="Times New Roman" w:eastAsia="仿宋_GB2312" w:cs="Times New Roman"/>
          <w:sz w:val="32"/>
          <w:szCs w:val="32"/>
        </w:rPr>
        <w:t>12300.73</w:t>
      </w:r>
      <w:r>
        <w:rPr>
          <w:rFonts w:hint="eastAsia" w:ascii="Times New Roman" w:hAnsi="Times New Roman" w:eastAsia="仿宋_GB2312" w:cs="Times New Roman"/>
          <w:sz w:val="32"/>
          <w:szCs w:val="32"/>
        </w:rPr>
        <w:t>万元，占30.84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八、关于三亚市林业局</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2年支出预算情况说明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2年支出预算</w:t>
      </w:r>
      <w:r>
        <w:rPr>
          <w:rFonts w:ascii="Times New Roman" w:hAnsi="Times New Roman" w:eastAsia="仿宋_GB2312" w:cs="Times New Roman"/>
          <w:sz w:val="32"/>
          <w:szCs w:val="32"/>
        </w:rPr>
        <w:t>39887.4</w:t>
      </w:r>
      <w:r>
        <w:rPr>
          <w:rFonts w:hint="eastAsia" w:ascii="Times New Roman" w:hAnsi="Times New Roman" w:eastAsia="仿宋_GB2312" w:cs="Times New Roman"/>
          <w:sz w:val="32"/>
          <w:szCs w:val="32"/>
        </w:rPr>
        <w:t>万元，其中：基本支出2059.79万元，占5.16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；项目支出</w:t>
      </w:r>
      <w:r>
        <w:rPr>
          <w:rFonts w:ascii="Times New Roman" w:hAnsi="Times New Roman" w:eastAsia="仿宋_GB2312" w:cs="Times New Roman"/>
          <w:sz w:val="32"/>
          <w:szCs w:val="32"/>
        </w:rPr>
        <w:t>37827.62</w:t>
      </w:r>
      <w:r>
        <w:rPr>
          <w:rFonts w:hint="eastAsia" w:ascii="Times New Roman" w:hAnsi="Times New Roman" w:eastAsia="仿宋_GB2312" w:cs="Times New Roman"/>
          <w:sz w:val="32"/>
          <w:szCs w:val="32"/>
        </w:rPr>
        <w:t>万元，占94.84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。比上年预算数增加28214.66万元，主要是项目调整，项目资金增加。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2年三亚市</w:t>
      </w:r>
      <w:r>
        <w:rPr>
          <w:rFonts w:hint="eastAsia" w:ascii="Times New Roman" w:hAnsi="Times New Roman" w:eastAsia="仿宋_GB2312" w:cs="Times New Roman"/>
          <w:sz w:val="32"/>
          <w:szCs w:val="32"/>
          <w:lang w:val="zh-CN"/>
        </w:rPr>
        <w:t>林业局机关运行经费</w:t>
      </w:r>
      <w:r>
        <w:rPr>
          <w:rFonts w:ascii="Times New Roman" w:hAnsi="Times New Roman" w:eastAsia="仿宋_GB2312" w:cs="Times New Roman"/>
          <w:sz w:val="32"/>
          <w:szCs w:val="32"/>
          <w:lang w:val="zh-CN"/>
        </w:rPr>
        <w:t>653.48</w:t>
      </w:r>
      <w:r>
        <w:rPr>
          <w:rFonts w:hint="eastAsia" w:ascii="Times New Roman" w:hAnsi="Times New Roman" w:eastAsia="仿宋_GB2312" w:cs="Times New Roman"/>
          <w:sz w:val="32"/>
          <w:szCs w:val="32"/>
          <w:lang w:val="zh-CN"/>
        </w:rPr>
        <w:t>万元</w:t>
      </w:r>
      <w:r>
        <w:rPr>
          <w:rFonts w:hint="eastAsia" w:ascii="Times New Roman" w:hAnsi="Times New Roman" w:eastAsia="仿宋_GB2312" w:cs="Times New Roman"/>
          <w:sz w:val="32"/>
          <w:szCs w:val="32"/>
        </w:rPr>
        <w:t>。</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2年三亚市林业局本级及下属各预算单位政府采购预算总额</w:t>
      </w:r>
      <w:r>
        <w:rPr>
          <w:rFonts w:ascii="Times New Roman" w:hAnsi="Times New Roman" w:eastAsia="仿宋_GB2312" w:cs="Times New Roman"/>
          <w:sz w:val="32"/>
          <w:szCs w:val="32"/>
        </w:rPr>
        <w:t>8.94</w:t>
      </w:r>
      <w:r>
        <w:rPr>
          <w:rFonts w:hint="eastAsia" w:ascii="Times New Roman" w:hAnsi="Times New Roman" w:eastAsia="仿宋_GB2312" w:cs="Times New Roman"/>
          <w:sz w:val="32"/>
          <w:szCs w:val="32"/>
        </w:rPr>
        <w:t xml:space="preserve"> 万元，其中：政府采购货物预算</w:t>
      </w:r>
      <w:r>
        <w:rPr>
          <w:rFonts w:ascii="Times New Roman" w:hAnsi="Times New Roman" w:eastAsia="仿宋_GB2312" w:cs="Times New Roman"/>
          <w:sz w:val="32"/>
          <w:szCs w:val="32"/>
        </w:rPr>
        <w:t>8.94</w:t>
      </w:r>
      <w:r>
        <w:rPr>
          <w:rFonts w:hint="eastAsia" w:ascii="Times New Roman" w:hAnsi="Times New Roman" w:eastAsia="仿宋_GB2312" w:cs="Times New Roman"/>
          <w:sz w:val="32"/>
          <w:szCs w:val="32"/>
        </w:rPr>
        <w:t xml:space="preserve"> 万元。</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1年</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日，三亚市林业局共有车辆</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辆，其中，领导干部用车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辆，机要通信应急用车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辆、一般执法执勤用车</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辆、特种专业技术用车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辆、其他用车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辆。单位价值</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万元以上设备</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2年三亚市林业</w:t>
      </w:r>
      <w:r>
        <w:rPr>
          <w:rFonts w:hint="eastAsia" w:ascii="Times New Roman" w:hAnsi="Times New Roman" w:eastAsia="仿宋_GB2312" w:cs="Times New Roman"/>
          <w:sz w:val="32"/>
          <w:szCs w:val="32"/>
          <w:highlight w:val="none"/>
        </w:rPr>
        <w:t>局</w:t>
      </w:r>
      <w:r>
        <w:rPr>
          <w:rFonts w:hint="eastAsia" w:ascii="Times New Roman" w:hAnsi="Times New Roman" w:eastAsia="仿宋_GB2312" w:cs="Times New Roman"/>
          <w:sz w:val="32"/>
          <w:szCs w:val="32"/>
          <w:highlight w:val="none"/>
          <w:lang w:val="en-US" w:eastAsia="zh-CN"/>
        </w:rPr>
        <w:t>80</w:t>
      </w:r>
      <w:r>
        <w:rPr>
          <w:rFonts w:hint="eastAsia"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27586.7</w:t>
      </w:r>
      <w:r>
        <w:rPr>
          <w:rFonts w:hint="eastAsia" w:ascii="Times New Roman" w:hAnsi="Times New Roman" w:eastAsia="仿宋_GB2312" w:cs="Times New Roman"/>
          <w:sz w:val="32"/>
          <w:szCs w:val="32"/>
          <w:highlight w:val="none"/>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eastAsia" w:ascii="Times New Roman" w:hAnsi="Times New Roman" w:eastAsia="黑体" w:cs="Times New Roman"/>
          <w:b/>
          <w:sz w:val="32"/>
          <w:szCs w:val="32"/>
        </w:rPr>
        <w:t>第四部分名词解释</w:t>
      </w:r>
    </w:p>
    <w:p>
      <w:pPr>
        <w:ind w:firstLine="640" w:firstLineChars="200"/>
        <w:jc w:val="left"/>
        <w:rPr>
          <w:rFonts w:ascii="Times New Roman" w:hAnsi="Times New Roman" w:eastAsia="仿宋_GB2312" w:cs="Times New Roman"/>
          <w:color w:val="000000"/>
          <w:kern w:val="0"/>
          <w:sz w:val="32"/>
          <w:szCs w:val="32"/>
        </w:rPr>
      </w:pPr>
    </w:p>
    <w:p>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一、一般公共预算收入：</w:t>
      </w:r>
      <w:r>
        <w:rPr>
          <w:rFonts w:hint="eastAsia" w:ascii="Times New Roman" w:hAnsi="Times New Roman" w:eastAsia="仿宋_GB2312" w:cs="Times New Roman"/>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二、政府性基金收入：</w:t>
      </w:r>
      <w:r>
        <w:rPr>
          <w:rFonts w:hint="eastAsia" w:ascii="Times New Roman" w:hAnsi="Times New Roman" w:eastAsia="仿宋_GB2312" w:cs="Times New Roman"/>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三、其他财政资金收入：</w:t>
      </w:r>
      <w:r>
        <w:rPr>
          <w:rFonts w:hint="eastAsia" w:ascii="Times New Roman" w:hAnsi="Times New Roman" w:eastAsia="仿宋_GB2312" w:cs="Times New Roman"/>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四、收回存量资金收入：</w:t>
      </w:r>
      <w:r>
        <w:rPr>
          <w:rFonts w:hint="eastAsia" w:ascii="Times New Roman" w:hAnsi="Times New Roman" w:eastAsia="仿宋_GB2312" w:cs="Times New Roman"/>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Times New Roman" w:hAnsi="Times New Roman" w:eastAsia="仿宋_GB2312" w:cs="Times New Roman"/>
          <w:color w:val="000000"/>
          <w:kern w:val="0"/>
          <w:sz w:val="32"/>
          <w:szCs w:val="32"/>
          <w:lang w:val="zh-CN"/>
        </w:rPr>
        <w:t>。</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五、事业收入：</w:t>
      </w:r>
      <w:r>
        <w:rPr>
          <w:rFonts w:hint="eastAsia" w:ascii="Times New Roman" w:hAnsi="Times New Roman" w:eastAsia="仿宋_GB2312" w:cs="Times New Roman"/>
          <w:bCs/>
          <w:color w:val="000000"/>
          <w:kern w:val="0"/>
          <w:sz w:val="32"/>
          <w:szCs w:val="32"/>
          <w:lang w:val="zh-CN"/>
        </w:rPr>
        <w:t>指用于反映事业单位开展专业业务活动及辅助活动所取得的收入。</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六、</w:t>
      </w:r>
      <w:r>
        <w:rPr>
          <w:rFonts w:hint="eastAsia" w:ascii="Times New Roman" w:hAnsi="Times New Roman" w:eastAsia="仿宋_GB2312" w:cs="Times New Roman"/>
          <w:sz w:val="32"/>
          <w:szCs w:val="32"/>
        </w:rPr>
        <w:t>事业单位经营收入</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七、其他收入：</w:t>
      </w:r>
      <w:r>
        <w:rPr>
          <w:rFonts w:hint="eastAsia" w:ascii="Times New Roman" w:hAnsi="Times New Roman" w:eastAsia="仿宋_GB2312" w:cs="Times New Roman"/>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八、</w:t>
      </w:r>
      <w:r>
        <w:rPr>
          <w:rFonts w:hint="eastAsia" w:ascii="Times New Roman" w:hAnsi="Times New Roman" w:eastAsia="仿宋_GB2312" w:cs="Times New Roman"/>
          <w:sz w:val="32"/>
          <w:szCs w:val="32"/>
        </w:rPr>
        <w:t>用事业基金弥补收支差额</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指用于反映事业单位在预计当年</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一般公共预算收入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政府性基金</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教育收费收入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其他财政性资金收入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收回存量资金收入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单位自有资金收入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九、</w:t>
      </w:r>
      <w:r>
        <w:rPr>
          <w:rFonts w:hint="eastAsia" w:ascii="Times New Roman" w:hAnsi="Times New Roman" w:eastAsia="仿宋_GB2312" w:cs="Times New Roman"/>
          <w:sz w:val="32"/>
          <w:szCs w:val="32"/>
        </w:rPr>
        <w:t>上年结转结余收入</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十、一般公共服务（类）</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事务（款）行政运行（项）：指</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用于保障机构正常运行、开展日常工作的基本支出。</w:t>
      </w:r>
    </w:p>
    <w:p>
      <w:pPr>
        <w:widowControl/>
        <w:spacing w:line="560" w:lineRule="exact"/>
        <w:ind w:firstLine="640" w:firstLineChars="200"/>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十一、一般公共服务（类）</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事务（款）一般行政管理事务（项）：指用于</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等未单独设置项级科目的项目支出。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十三、项目支出：指在基本支出之外为完成特定的行政工作任务或事业发展目标所发生的支出。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sz w:val="32"/>
          <w:szCs w:val="32"/>
        </w:rPr>
        <w:t>十</w:t>
      </w:r>
      <w:r>
        <w:rPr>
          <w:rFonts w:hint="eastAsia" w:ascii="Times New Roman" w:hAnsi="Times New Roman" w:eastAsia="仿宋_GB2312" w:cs="Times New Roman"/>
          <w:color w:val="000000"/>
          <w:kern w:val="0"/>
          <w:sz w:val="32"/>
          <w:szCs w:val="30"/>
        </w:rPr>
        <w:t>四、</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pict>
        <v:shape id="_x0000_s4097" o:spid="_x0000_s4097" o:spt="202" type="#_x0000_t202" style="position:absolute;left:0pt;margin-left:347.4pt;margin-top:-9.75pt;height:18.2pt;width:67.9pt;mso-position-horizontal-relative:margin;z-index:251657216;mso-width-relative:page;mso-height-relative:page;" filled="f" stroked="f" coordsize="21600,21600">
          <v:path/>
          <v:fill on="f" focussize="0,0"/>
          <v:stroke on="f" joinstyle="miter"/>
          <v:imagedata o:title=""/>
          <o:lock v:ext="edit"/>
          <v:textbox inset="0mm,0mm,0mm,0mm">
            <w:txbxContent>
              <w:p>
                <w:pPr>
                  <w:pStyle w:val="2"/>
                  <w:rPr>
                    <w:rFonts w:ascii="Batang" w:hAnsi="Batang" w:eastAsia="Batang" w:cs="Batang"/>
                    <w:sz w:val="28"/>
                    <w:szCs w:val="28"/>
                  </w:rPr>
                </w:pPr>
                <w:r>
                  <w:rPr>
                    <w:rFonts w:ascii="Batang" w:hAnsi="Batang" w:eastAsia="Batang" w:cs="Batang"/>
                    <w:sz w:val="28"/>
                    <w:szCs w:val="28"/>
                  </w:rPr>
                  <w:t>—</w:t>
                </w:r>
                <w:r>
                  <w:rPr>
                    <w:rFonts w:ascii="Batang" w:hAnsi="Batang" w:eastAsia="Batang" w:cs="Batang"/>
                    <w:sz w:val="28"/>
                    <w:szCs w:val="28"/>
                  </w:rPr>
                  <w:fldChar w:fldCharType="begin"/>
                </w:r>
                <w:r>
                  <w:rPr>
                    <w:rFonts w:ascii="Batang" w:hAnsi="Batang" w:eastAsia="Batang" w:cs="Batang"/>
                    <w:sz w:val="28"/>
                    <w:szCs w:val="28"/>
                  </w:rPr>
                  <w:instrText xml:space="preserve"> PAGE  \* MERGEFORMAT </w:instrText>
                </w:r>
                <w:r>
                  <w:rPr>
                    <w:rFonts w:ascii="Batang" w:hAnsi="Batang" w:eastAsia="Batang" w:cs="Batang"/>
                    <w:sz w:val="28"/>
                    <w:szCs w:val="28"/>
                  </w:rPr>
                  <w:fldChar w:fldCharType="separate"/>
                </w:r>
                <w:r>
                  <w:rPr>
                    <w:rFonts w:ascii="Batang" w:hAnsi="Batang" w:eastAsia="Batang" w:cs="Batang"/>
                    <w:sz w:val="28"/>
                    <w:szCs w:val="28"/>
                  </w:rPr>
                  <w:t>2</w:t>
                </w:r>
                <w:r>
                  <w:rPr>
                    <w:rFonts w:ascii="Batang" w:hAnsi="Batang" w:eastAsia="Batang" w:cs="Batang"/>
                    <w:sz w:val="28"/>
                    <w:szCs w:val="28"/>
                  </w:rPr>
                  <w:fldChar w:fldCharType="end"/>
                </w:r>
                <w:r>
                  <w:rPr>
                    <w:rFonts w:ascii="Batang" w:hAnsi="Batang" w:eastAsia="Batang" w:cs="Batang"/>
                    <w:sz w:val="28"/>
                    <w:szCs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pict>
        <v:shape id="_x0000_s4098" o:spid="_x0000_s4098" o:spt="202" type="#_x0000_t202" style="position:absolute;left:0pt;margin-top:-9.75pt;height:18.2pt;width:76.95pt;mso-position-horizontal:outside;mso-position-horizontal-relative:margin;z-index:251658240;mso-width-relative:page;mso-height-relative:page;" filled="f" stroked="f" coordsize="21600,21600">
          <v:path/>
          <v:fill on="f" focussize="0,0"/>
          <v:stroke on="f" joinstyle="miter"/>
          <v:imagedata o:title=""/>
          <o:lock v:ext="edit"/>
          <v:textbox inset="0mm,0mm,0mm,0mm">
            <w:txbxContent>
              <w:p>
                <w:pPr>
                  <w:pStyle w:val="2"/>
                  <w:ind w:firstLine="280" w:firstLineChars="100"/>
                  <w:rPr>
                    <w:rFonts w:ascii="Batang" w:hAnsi="Batang" w:eastAsia="Batang" w:cs="Batang"/>
                    <w:sz w:val="28"/>
                    <w:szCs w:val="28"/>
                  </w:rPr>
                </w:pPr>
                <w:r>
                  <w:rPr>
                    <w:rFonts w:ascii="Batang" w:hAnsi="Batang" w:eastAsia="Batang" w:cs="Batang"/>
                    <w:sz w:val="28"/>
                    <w:szCs w:val="28"/>
                  </w:rPr>
                  <w:t>—</w:t>
                </w:r>
                <w:r>
                  <w:rPr>
                    <w:rFonts w:ascii="Batang" w:hAnsi="Batang" w:eastAsia="Batang" w:cs="Batang"/>
                    <w:sz w:val="28"/>
                    <w:szCs w:val="28"/>
                  </w:rPr>
                  <w:fldChar w:fldCharType="begin"/>
                </w:r>
                <w:r>
                  <w:rPr>
                    <w:rFonts w:ascii="Batang" w:hAnsi="Batang" w:eastAsia="Batang" w:cs="Batang"/>
                    <w:sz w:val="28"/>
                    <w:szCs w:val="28"/>
                  </w:rPr>
                  <w:instrText xml:space="preserve"> PAGE  \* MERGEFORMAT </w:instrText>
                </w:r>
                <w:r>
                  <w:rPr>
                    <w:rFonts w:ascii="Batang" w:hAnsi="Batang" w:eastAsia="Batang" w:cs="Batang"/>
                    <w:sz w:val="28"/>
                    <w:szCs w:val="28"/>
                  </w:rPr>
                  <w:fldChar w:fldCharType="separate"/>
                </w:r>
                <w:r>
                  <w:rPr>
                    <w:rFonts w:ascii="Batang" w:hAnsi="Batang" w:eastAsia="Batang" w:cs="Batang"/>
                    <w:sz w:val="28"/>
                    <w:szCs w:val="28"/>
                  </w:rPr>
                  <w:t>11</w:t>
                </w:r>
                <w:r>
                  <w:rPr>
                    <w:rFonts w:ascii="Batang" w:hAnsi="Batang" w:eastAsia="Batang" w:cs="Batang"/>
                    <w:sz w:val="28"/>
                    <w:szCs w:val="28"/>
                  </w:rPr>
                  <w:fldChar w:fldCharType="end"/>
                </w:r>
                <w:r>
                  <w:rPr>
                    <w:rFonts w:ascii="Batang" w:hAnsi="Batang" w:eastAsia="Batang" w:cs="Batang"/>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1E75"/>
    <w:rsid w:val="00026131"/>
    <w:rsid w:val="000A4705"/>
    <w:rsid w:val="000F1A98"/>
    <w:rsid w:val="000F5261"/>
    <w:rsid w:val="00112E39"/>
    <w:rsid w:val="00127608"/>
    <w:rsid w:val="00130C10"/>
    <w:rsid w:val="00144171"/>
    <w:rsid w:val="00155ED3"/>
    <w:rsid w:val="00172A27"/>
    <w:rsid w:val="001909FB"/>
    <w:rsid w:val="001B4883"/>
    <w:rsid w:val="00207117"/>
    <w:rsid w:val="00232307"/>
    <w:rsid w:val="00254688"/>
    <w:rsid w:val="00274A80"/>
    <w:rsid w:val="002B6890"/>
    <w:rsid w:val="002E1187"/>
    <w:rsid w:val="003013B6"/>
    <w:rsid w:val="003659BA"/>
    <w:rsid w:val="003911CB"/>
    <w:rsid w:val="0039259E"/>
    <w:rsid w:val="00392E8B"/>
    <w:rsid w:val="003C28B0"/>
    <w:rsid w:val="0041286B"/>
    <w:rsid w:val="00413322"/>
    <w:rsid w:val="00452337"/>
    <w:rsid w:val="0048568F"/>
    <w:rsid w:val="004A5665"/>
    <w:rsid w:val="005344C9"/>
    <w:rsid w:val="00543CA6"/>
    <w:rsid w:val="005A1F83"/>
    <w:rsid w:val="005B14DB"/>
    <w:rsid w:val="005C77D9"/>
    <w:rsid w:val="005D520E"/>
    <w:rsid w:val="005D5DCF"/>
    <w:rsid w:val="005D7F2D"/>
    <w:rsid w:val="00610319"/>
    <w:rsid w:val="0072001E"/>
    <w:rsid w:val="00722CB3"/>
    <w:rsid w:val="0073789E"/>
    <w:rsid w:val="0077127B"/>
    <w:rsid w:val="007826A3"/>
    <w:rsid w:val="00796BAB"/>
    <w:rsid w:val="007B0536"/>
    <w:rsid w:val="007C7FC8"/>
    <w:rsid w:val="007D487E"/>
    <w:rsid w:val="00801A12"/>
    <w:rsid w:val="00806ED3"/>
    <w:rsid w:val="008705AC"/>
    <w:rsid w:val="008717F3"/>
    <w:rsid w:val="008D5CE5"/>
    <w:rsid w:val="008F1F13"/>
    <w:rsid w:val="00944304"/>
    <w:rsid w:val="00947CAE"/>
    <w:rsid w:val="009807D7"/>
    <w:rsid w:val="00993E3F"/>
    <w:rsid w:val="009D6289"/>
    <w:rsid w:val="00A24169"/>
    <w:rsid w:val="00A255B3"/>
    <w:rsid w:val="00A766FA"/>
    <w:rsid w:val="00AE1B02"/>
    <w:rsid w:val="00B70C57"/>
    <w:rsid w:val="00C22A35"/>
    <w:rsid w:val="00C912D1"/>
    <w:rsid w:val="00CE402B"/>
    <w:rsid w:val="00D25E22"/>
    <w:rsid w:val="00D50985"/>
    <w:rsid w:val="00D91A0E"/>
    <w:rsid w:val="00DD609A"/>
    <w:rsid w:val="00DE0E5B"/>
    <w:rsid w:val="00DF5CA0"/>
    <w:rsid w:val="00DF7AC0"/>
    <w:rsid w:val="00EB644F"/>
    <w:rsid w:val="00EE2183"/>
    <w:rsid w:val="00F03021"/>
    <w:rsid w:val="00F034D0"/>
    <w:rsid w:val="00F200F8"/>
    <w:rsid w:val="00F71664"/>
    <w:rsid w:val="00FC7616"/>
    <w:rsid w:val="00FF12A4"/>
    <w:rsid w:val="05AB5CA9"/>
    <w:rsid w:val="05D2692C"/>
    <w:rsid w:val="08503C8E"/>
    <w:rsid w:val="0AAE1DBD"/>
    <w:rsid w:val="151B0C0E"/>
    <w:rsid w:val="16454B3A"/>
    <w:rsid w:val="16960E42"/>
    <w:rsid w:val="179B3B2E"/>
    <w:rsid w:val="17A626EA"/>
    <w:rsid w:val="215A60E3"/>
    <w:rsid w:val="31786E01"/>
    <w:rsid w:val="34215D8C"/>
    <w:rsid w:val="37FB58C0"/>
    <w:rsid w:val="38914953"/>
    <w:rsid w:val="3A736409"/>
    <w:rsid w:val="3AEB66D2"/>
    <w:rsid w:val="3BC805D1"/>
    <w:rsid w:val="42E72C31"/>
    <w:rsid w:val="4A7E5BD9"/>
    <w:rsid w:val="54BE67FB"/>
    <w:rsid w:val="557E73A1"/>
    <w:rsid w:val="57A047F4"/>
    <w:rsid w:val="58C71970"/>
    <w:rsid w:val="59FD6F00"/>
    <w:rsid w:val="625D0818"/>
    <w:rsid w:val="63722425"/>
    <w:rsid w:val="64622037"/>
    <w:rsid w:val="64684554"/>
    <w:rsid w:val="660C04AB"/>
    <w:rsid w:val="67855F0B"/>
    <w:rsid w:val="6E670C43"/>
    <w:rsid w:val="73A723B8"/>
    <w:rsid w:val="79C80E64"/>
    <w:rsid w:val="7A032CA5"/>
    <w:rsid w:val="7C0E49DF"/>
    <w:rsid w:val="7F0462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qFormat/>
    <w:locked/>
    <w:uiPriority w:val="99"/>
    <w:rPr>
      <w:rFonts w:cs="Times New Roman"/>
      <w:sz w:val="18"/>
      <w:szCs w:val="18"/>
    </w:rPr>
  </w:style>
  <w:style w:type="character" w:customStyle="1" w:styleId="7">
    <w:name w:val="页眉 Char"/>
    <w:basedOn w:val="5"/>
    <w:link w:val="3"/>
    <w:semiHidden/>
    <w:qFormat/>
    <w:locked/>
    <w:uiPriority w:val="99"/>
    <w:rPr>
      <w:rFonts w:cs="Times New Roman"/>
      <w:sz w:val="18"/>
      <w:szCs w:val="18"/>
    </w:r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1077</Words>
  <Characters>6144</Characters>
  <Lines>51</Lines>
  <Paragraphs>14</Paragraphs>
  <TotalTime>188</TotalTime>
  <ScaleCrop>false</ScaleCrop>
  <LinksUpToDate>false</LinksUpToDate>
  <CharactersWithSpaces>7207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2022-02-08T09:46:00Z</dcterms:created>
  <dc:creator>null,null,总收发</dc:creator>
  <cp:lastModifiedBy>梁伟娴</cp:lastModifiedBy>
  <cp:lastPrinted>2021-03-02T00:36:00Z</cp:lastPrinted>
  <dcterms:modified xsi:type="dcterms:W3CDTF">2022-02-16T02:35:26Z</dcterms:modified>
  <dc:title>××年××部门预算</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