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outlineLvl w:val="0"/>
        <w:rPr>
          <w:rFonts w:ascii="Times New Roman" w:hAnsi="Times New Roman" w:cs="Times New Roman"/>
          <w:sz w:val="52"/>
          <w:szCs w:val="52"/>
        </w:rPr>
      </w:pPr>
      <w:r>
        <w:rPr>
          <w:rFonts w:hint="default" w:ascii="Times New Roman" w:hAnsi="Times New Roman" w:cs="Times New Roman"/>
          <w:sz w:val="52"/>
          <w:szCs w:val="52"/>
          <w:lang w:val="en-US" w:eastAsia="zh-CN"/>
        </w:rPr>
        <w:t>2022</w:t>
      </w:r>
      <w:r>
        <w:rPr>
          <w:rFonts w:hint="default" w:ascii="Times New Roman" w:hAnsi="Times New Roman" w:cs="Times New Roman"/>
          <w:sz w:val="52"/>
          <w:szCs w:val="52"/>
        </w:rPr>
        <w:t>年</w:t>
      </w:r>
      <w:r>
        <w:rPr>
          <w:rFonts w:hint="default" w:ascii="Times New Roman" w:hAnsi="Times New Roman" w:cs="Times New Roman"/>
          <w:sz w:val="52"/>
          <w:szCs w:val="52"/>
          <w:lang w:val="en-US" w:eastAsia="zh-CN"/>
        </w:rPr>
        <w:t>三亚市红十字会</w:t>
      </w:r>
      <w:r>
        <w:rPr>
          <w:rFonts w:hint="default" w:ascii="Times New Roman" w:hAnsi="Times New Roman" w:cs="Times New Roman"/>
          <w:sz w:val="52"/>
          <w:szCs w:val="52"/>
        </w:rPr>
        <w:t>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outlineLvl w:val="0"/>
        <w:rPr>
          <w:rFonts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1"/>
        </w:numPr>
        <w:ind w:firstLineChars="0"/>
        <w:jc w:val="left"/>
        <w:outlineLvl w:val="0"/>
        <w:rPr>
          <w:rFonts w:hint="eastAsia" w:ascii="黑体" w:hAnsi="黑体" w:eastAsia="黑体" w:cs="黑体"/>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rPr>
        <w:t>概况</w:t>
      </w:r>
    </w:p>
    <w:p>
      <w:pPr>
        <w:pStyle w:val="7"/>
        <w:numPr>
          <w:ilvl w:val="-1"/>
          <w:numId w:val="0"/>
        </w:numPr>
        <w:ind w:left="0" w:firstLine="0" w:firstLineChars="0"/>
        <w:jc w:val="left"/>
        <w:outlineLvl w:val="1"/>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主要职能</w:t>
      </w:r>
    </w:p>
    <w:p>
      <w:pPr>
        <w:pStyle w:val="7"/>
        <w:numPr>
          <w:ilvl w:val="0"/>
          <w:numId w:val="2"/>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部门预算单位构成（单位公开没有这部分内容）</w:t>
      </w:r>
    </w:p>
    <w:p>
      <w:pPr>
        <w:pStyle w:val="7"/>
        <w:numPr>
          <w:ilvl w:val="0"/>
          <w:numId w:val="1"/>
        </w:numPr>
        <w:ind w:firstLineChars="0"/>
        <w:outlineLvl w:val="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年部门预算表</w:t>
      </w:r>
    </w:p>
    <w:p>
      <w:pPr>
        <w:pStyle w:val="7"/>
        <w:numPr>
          <w:ilvl w:val="0"/>
          <w:numId w:val="3"/>
        </w:numPr>
        <w:ind w:firstLineChars="0"/>
        <w:outlineLvl w:val="1"/>
        <w:rPr>
          <w:rFonts w:hint="eastAsia" w:ascii="黑体" w:hAnsi="黑体" w:eastAsia="黑体" w:cs="黑体"/>
          <w:sz w:val="32"/>
          <w:szCs w:val="32"/>
        </w:rPr>
      </w:pPr>
      <w:r>
        <w:rPr>
          <w:rFonts w:hint="eastAsia" w:ascii="黑体" w:hAnsi="黑体" w:eastAsia="黑体" w:cs="黑体"/>
          <w:sz w:val="32"/>
          <w:szCs w:val="32"/>
        </w:rPr>
        <w:t>财政拨款收支总表</w:t>
      </w:r>
    </w:p>
    <w:p>
      <w:pPr>
        <w:pStyle w:val="7"/>
        <w:numPr>
          <w:ilvl w:val="0"/>
          <w:numId w:val="3"/>
        </w:numPr>
        <w:ind w:firstLineChars="0"/>
        <w:outlineLvl w:val="1"/>
        <w:rPr>
          <w:rFonts w:hint="eastAsia" w:ascii="黑体" w:hAnsi="黑体" w:eastAsia="黑体" w:cs="黑体"/>
          <w:sz w:val="32"/>
          <w:szCs w:val="32"/>
        </w:rPr>
      </w:pPr>
      <w:r>
        <w:rPr>
          <w:rFonts w:hint="eastAsia" w:ascii="黑体" w:hAnsi="黑体" w:eastAsia="黑体" w:cs="黑体"/>
          <w:sz w:val="32"/>
          <w:szCs w:val="32"/>
        </w:rPr>
        <w:t>一般公共预算支出表</w:t>
      </w:r>
    </w:p>
    <w:p>
      <w:pPr>
        <w:pStyle w:val="7"/>
        <w:numPr>
          <w:ilvl w:val="0"/>
          <w:numId w:val="3"/>
        </w:numPr>
        <w:ind w:firstLineChars="0"/>
        <w:outlineLvl w:val="1"/>
        <w:rPr>
          <w:rFonts w:hint="eastAsia" w:ascii="黑体" w:hAnsi="黑体" w:eastAsia="黑体" w:cs="黑体"/>
          <w:sz w:val="32"/>
          <w:szCs w:val="32"/>
        </w:rPr>
      </w:pPr>
      <w:r>
        <w:rPr>
          <w:rFonts w:hint="eastAsia" w:ascii="黑体" w:hAnsi="黑体" w:eastAsia="黑体" w:cs="黑体"/>
          <w:sz w:val="32"/>
          <w:szCs w:val="32"/>
        </w:rPr>
        <w:t>一般公共预算基本支出表</w:t>
      </w:r>
    </w:p>
    <w:p>
      <w:pPr>
        <w:pStyle w:val="7"/>
        <w:numPr>
          <w:ilvl w:val="0"/>
          <w:numId w:val="3"/>
        </w:numPr>
        <w:ind w:firstLineChars="0"/>
        <w:outlineLvl w:val="1"/>
        <w:rPr>
          <w:rFonts w:hint="eastAsia" w:ascii="黑体" w:hAnsi="黑体" w:eastAsia="黑体" w:cs="黑体"/>
          <w:sz w:val="32"/>
          <w:szCs w:val="32"/>
        </w:rPr>
      </w:pPr>
      <w:r>
        <w:rPr>
          <w:rFonts w:hint="eastAsia" w:ascii="黑体" w:hAnsi="黑体" w:eastAsia="黑体" w:cs="黑体"/>
          <w:sz w:val="32"/>
          <w:szCs w:val="32"/>
        </w:rPr>
        <w:t>一般公共预算“三公”经费支出表</w:t>
      </w:r>
    </w:p>
    <w:p>
      <w:pPr>
        <w:pStyle w:val="7"/>
        <w:numPr>
          <w:ilvl w:val="0"/>
          <w:numId w:val="3"/>
        </w:numPr>
        <w:ind w:firstLineChars="0"/>
        <w:outlineLvl w:val="1"/>
        <w:rPr>
          <w:rFonts w:hint="eastAsia" w:ascii="黑体" w:hAnsi="黑体" w:eastAsia="黑体" w:cs="黑体"/>
          <w:sz w:val="32"/>
          <w:szCs w:val="32"/>
        </w:rPr>
      </w:pPr>
      <w:r>
        <w:rPr>
          <w:rFonts w:hint="eastAsia" w:ascii="黑体" w:hAnsi="黑体" w:eastAsia="黑体" w:cs="黑体"/>
          <w:sz w:val="32"/>
          <w:szCs w:val="32"/>
        </w:rPr>
        <w:t>政府性基金预算支出表。</w:t>
      </w:r>
    </w:p>
    <w:p>
      <w:pPr>
        <w:pStyle w:val="7"/>
        <w:numPr>
          <w:ilvl w:val="0"/>
          <w:numId w:val="3"/>
        </w:numPr>
        <w:ind w:firstLineChars="0"/>
        <w:outlineLvl w:val="1"/>
        <w:rPr>
          <w:rFonts w:hint="eastAsia" w:ascii="黑体" w:hAnsi="黑体" w:eastAsia="黑体" w:cs="黑体"/>
          <w:sz w:val="32"/>
          <w:szCs w:val="32"/>
        </w:rPr>
      </w:pPr>
      <w:r>
        <w:rPr>
          <w:rFonts w:hint="eastAsia" w:ascii="黑体" w:hAnsi="黑体" w:eastAsia="黑体" w:cs="黑体"/>
          <w:sz w:val="32"/>
          <w:szCs w:val="32"/>
        </w:rPr>
        <w:t>政府性基金预算“三公”经费支出表</w:t>
      </w:r>
    </w:p>
    <w:p>
      <w:pPr>
        <w:pStyle w:val="7"/>
        <w:numPr>
          <w:ilvl w:val="0"/>
          <w:numId w:val="3"/>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部门收支总表</w:t>
      </w:r>
    </w:p>
    <w:p>
      <w:pPr>
        <w:pStyle w:val="7"/>
        <w:numPr>
          <w:ilvl w:val="0"/>
          <w:numId w:val="3"/>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部门收入总表</w:t>
      </w:r>
    </w:p>
    <w:p>
      <w:pPr>
        <w:pStyle w:val="7"/>
        <w:numPr>
          <w:ilvl w:val="0"/>
          <w:numId w:val="3"/>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部门支出总表</w:t>
      </w:r>
    </w:p>
    <w:p>
      <w:pPr>
        <w:pStyle w:val="7"/>
        <w:numPr>
          <w:ilvl w:val="0"/>
          <w:numId w:val="3"/>
        </w:numPr>
        <w:ind w:firstLineChars="0"/>
        <w:jc w:val="left"/>
        <w:outlineLvl w:val="1"/>
        <w:rPr>
          <w:rFonts w:hint="eastAsia" w:ascii="黑体" w:hAnsi="黑体" w:eastAsia="黑体" w:cs="黑体"/>
          <w:sz w:val="32"/>
          <w:szCs w:val="32"/>
        </w:rPr>
      </w:pPr>
      <w:r>
        <w:rPr>
          <w:rFonts w:hint="eastAsia" w:ascii="黑体" w:hAnsi="黑体" w:eastAsia="黑体" w:cs="黑体"/>
          <w:sz w:val="32"/>
          <w:szCs w:val="32"/>
        </w:rPr>
        <w:t>项目支出绩效信息表</w:t>
      </w:r>
    </w:p>
    <w:p>
      <w:pPr>
        <w:pStyle w:val="7"/>
        <w:numPr>
          <w:ilvl w:val="0"/>
          <w:numId w:val="1"/>
        </w:numPr>
        <w:ind w:firstLineChars="0"/>
        <w:jc w:val="left"/>
        <w:outlineLvl w:val="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年部门预算情况说明</w:t>
      </w:r>
    </w:p>
    <w:p>
      <w:pPr>
        <w:pStyle w:val="7"/>
        <w:numPr>
          <w:ilvl w:val="0"/>
          <w:numId w:val="1"/>
        </w:numPr>
        <w:ind w:firstLineChars="0"/>
        <w:jc w:val="left"/>
        <w:outlineLvl w:val="0"/>
        <w:rPr>
          <w:rFonts w:hint="eastAsia" w:ascii="黑体" w:hAnsi="黑体" w:eastAsia="黑体" w:cs="黑体"/>
          <w:sz w:val="32"/>
          <w:szCs w:val="32"/>
        </w:rPr>
      </w:pPr>
      <w:r>
        <w:rPr>
          <w:rFonts w:hint="eastAsia" w:ascii="黑体" w:hAnsi="黑体" w:eastAsia="黑体" w:cs="黑体"/>
          <w:sz w:val="32"/>
          <w:szCs w:val="32"/>
        </w:rPr>
        <w:t xml:space="preserve">   名词解释</w:t>
      </w:r>
    </w:p>
    <w:p>
      <w:pPr>
        <w:pStyle w:val="7"/>
        <w:ind w:left="1320" w:firstLine="0" w:firstLineChars="0"/>
        <w:jc w:val="left"/>
        <w:rPr>
          <w:rFonts w:ascii="Times New Roman" w:hAnsi="Times New Roman" w:eastAsia="黑体" w:cs="Times New Roman"/>
          <w:sz w:val="32"/>
          <w:szCs w:val="32"/>
        </w:rPr>
      </w:pPr>
    </w:p>
    <w:p>
      <w:pPr>
        <w:jc w:val="left"/>
        <w:rPr>
          <w:rFonts w:hint="eastAsia" w:ascii="黑体" w:hAnsi="黑体" w:eastAsia="黑体" w:cs="黑体"/>
          <w:sz w:val="32"/>
          <w:szCs w:val="32"/>
        </w:rPr>
      </w:pPr>
    </w:p>
    <w:p>
      <w:pPr>
        <w:jc w:val="left"/>
        <w:rPr>
          <w:rFonts w:ascii="Times New Roman" w:hAnsi="Times New Roman" w:eastAsia="黑体" w:cs="Times New Roman"/>
          <w:sz w:val="32"/>
          <w:szCs w:val="32"/>
        </w:rPr>
      </w:pPr>
    </w:p>
    <w:p>
      <w:pPr>
        <w:jc w:val="left"/>
        <w:rPr>
          <w:rFonts w:hint="eastAsia" w:ascii="黑体" w:hAnsi="黑体" w:eastAsia="黑体" w:cs="黑体"/>
          <w:sz w:val="32"/>
          <w:szCs w:val="32"/>
        </w:rPr>
      </w:pPr>
    </w:p>
    <w:p>
      <w:pPr>
        <w:jc w:val="left"/>
        <w:rPr>
          <w:rFonts w:hint="eastAsia" w:ascii="黑体" w:hAnsi="黑体" w:eastAsia="黑体" w:cs="黑体"/>
          <w:sz w:val="32"/>
          <w:szCs w:val="32"/>
        </w:rPr>
      </w:pPr>
    </w:p>
    <w:p>
      <w:pPr>
        <w:pStyle w:val="7"/>
        <w:numPr>
          <w:ilvl w:val="0"/>
          <w:numId w:val="4"/>
        </w:numPr>
        <w:ind w:firstLineChars="0"/>
        <w:jc w:val="center"/>
        <w:outlineLvl w:val="0"/>
        <w:rPr>
          <w:rFonts w:hint="eastAsia" w:ascii="黑体" w:hAnsi="黑体" w:eastAsia="黑体" w:cs="黑体"/>
          <w:sz w:val="32"/>
          <w:szCs w:val="32"/>
        </w:rPr>
      </w:pPr>
      <w:r>
        <w:rPr>
          <w:rFonts w:hint="default" w:ascii="Times New Roman" w:hAnsi="Times New Roman" w:eastAsia="黑体" w:cs="Times New Roman"/>
          <w:sz w:val="32"/>
          <w:szCs w:val="32"/>
        </w:rPr>
        <w:t xml:space="preserve">  </w:t>
      </w:r>
      <w:r>
        <w:rPr>
          <w:rFonts w:hint="eastAsia" w:ascii="黑体" w:hAnsi="黑体" w:eastAsia="黑体" w:cs="黑体"/>
          <w:sz w:val="32"/>
          <w:szCs w:val="32"/>
          <w:lang w:eastAsia="zh-CN"/>
        </w:rPr>
        <w:t>三亚市红十字会</w:t>
      </w:r>
      <w:r>
        <w:rPr>
          <w:rFonts w:hint="eastAsia" w:ascii="黑体" w:hAnsi="黑体" w:eastAsia="黑体" w:cs="黑体"/>
          <w:sz w:val="32"/>
          <w:szCs w:val="32"/>
        </w:rPr>
        <w:t>概况</w:t>
      </w:r>
    </w:p>
    <w:p>
      <w:pPr>
        <w:keepNext w:val="0"/>
        <w:keepLines w:val="0"/>
        <w:pageBreakBefore w:val="0"/>
        <w:widowControl w:val="0"/>
        <w:kinsoku/>
        <w:wordWrap/>
        <w:overflowPunct/>
        <w:topLinePunct w:val="0"/>
        <w:autoSpaceDE/>
        <w:autoSpaceDN/>
        <w:bidi w:val="0"/>
        <w:adjustRightInd/>
        <w:snapToGrid/>
        <w:spacing w:line="160" w:lineRule="exact"/>
        <w:ind w:left="0" w:leftChars="0"/>
        <w:jc w:val="left"/>
        <w:textAlignment w:val="auto"/>
        <w:rPr>
          <w:rFonts w:ascii="Times New Roman" w:hAnsi="Times New Roman" w:eastAsia="仿宋_GB2312" w:cs="Times New Roman"/>
          <w:sz w:val="32"/>
          <w:szCs w:val="32"/>
        </w:rPr>
      </w:pPr>
    </w:p>
    <w:p>
      <w:pPr>
        <w:pStyle w:val="7"/>
        <w:numPr>
          <w:ilvl w:val="0"/>
          <w:numId w:val="5"/>
        </w:numPr>
        <w:ind w:firstLineChars="0"/>
        <w:jc w:val="left"/>
        <w:outlineLvl w:val="1"/>
        <w:rPr>
          <w:rFonts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一）组织贯彻《中华人民共和国红十字会法》，协助人民政府开展与其有关的活动；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（二）开展救灾的准备工作。</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（三）开展应急救护和防病知识的宣传、普及、培训；开展初级卫生救护培训，组织群众参加意外伤害和自然灾害的现场救护。</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（四）</w:t>
      </w:r>
      <w:bookmarkStart w:id="0" w:name="OLE_LINK2"/>
      <w:r>
        <w:rPr>
          <w:rFonts w:hint="eastAsia" w:ascii="仿宋_GB2312" w:hAnsi="仿宋_GB2312" w:eastAsia="仿宋_GB2312" w:cs="仿宋_GB2312"/>
          <w:color w:val="000000"/>
          <w:sz w:val="32"/>
          <w:szCs w:val="32"/>
          <w:lang w:eastAsia="zh-CN"/>
        </w:rPr>
        <w:t>开展无偿献血的宣传推动工作；开展捐献造血干细胞的宣传动员、组织工作；依法开展和推动遗体、器官（组织）捐献工作。</w:t>
      </w:r>
      <w:bookmarkEnd w:id="0"/>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（五）开展社会救助及相关服务工作；依法开展募捐活动。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开展红十字青少年活动，红十字志愿服务活动。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（七）</w:t>
      </w:r>
      <w:bookmarkStart w:id="1" w:name="OLE_LINK3"/>
      <w:bookmarkStart w:id="2" w:name="OLE_LINK1"/>
      <w:r>
        <w:rPr>
          <w:rFonts w:hint="eastAsia" w:ascii="仿宋_GB2312" w:hAnsi="仿宋_GB2312" w:eastAsia="仿宋_GB2312" w:cs="仿宋_GB2312"/>
          <w:color w:val="000000"/>
          <w:sz w:val="32"/>
          <w:szCs w:val="32"/>
          <w:lang w:eastAsia="zh-CN"/>
        </w:rPr>
        <w:t>宣传国际人道法、红十字运动基本原则</w:t>
      </w:r>
      <w:bookmarkEnd w:id="1"/>
      <w:r>
        <w:rPr>
          <w:rFonts w:hint="eastAsia" w:ascii="仿宋_GB2312" w:hAnsi="仿宋_GB2312" w:eastAsia="仿宋_GB2312" w:cs="仿宋_GB2312"/>
          <w:color w:val="000000"/>
          <w:sz w:val="32"/>
          <w:szCs w:val="32"/>
          <w:lang w:eastAsia="zh-CN"/>
        </w:rPr>
        <w:t>；参加国际人道救援工作。</w:t>
      </w:r>
      <w:bookmarkEnd w:id="2"/>
    </w:p>
    <w:p>
      <w:pPr>
        <w:numPr>
          <w:ilvl w:val="-1"/>
          <w:numId w:val="0"/>
        </w:numPr>
        <w:ind w:left="0" w:firstLine="640" w:firstLineChars="200"/>
        <w:jc w:val="left"/>
        <w:rPr>
          <w:rFonts w:ascii="Times New Roman" w:hAnsi="Times New Roman" w:eastAsia="黑体" w:cs="Times New Roman"/>
          <w:sz w:val="32"/>
          <w:szCs w:val="32"/>
        </w:rPr>
      </w:pPr>
      <w:r>
        <w:rPr>
          <w:rFonts w:hint="eastAsia" w:ascii="仿宋_GB2312" w:hAnsi="仿宋_GB2312" w:eastAsia="仿宋_GB2312" w:cs="仿宋_GB2312"/>
          <w:color w:val="000000"/>
          <w:sz w:val="32"/>
          <w:szCs w:val="32"/>
          <w:lang w:eastAsia="zh-CN"/>
        </w:rPr>
        <w:t>（八）承办市委、市政府和上级部门交办的工作；检查指导各区与红十字会相关的工作。</w:t>
      </w:r>
    </w:p>
    <w:p>
      <w:pPr>
        <w:pStyle w:val="7"/>
        <w:numPr>
          <w:ilvl w:val="0"/>
          <w:numId w:val="5"/>
        </w:numPr>
        <w:ind w:firstLineChars="0"/>
        <w:jc w:val="left"/>
        <w:outlineLvl w:val="1"/>
        <w:rPr>
          <w:rFonts w:ascii="Times New Roman" w:hAnsi="Times New Roman" w:eastAsia="黑体" w:cs="Times New Roman"/>
          <w:sz w:val="32"/>
          <w:szCs w:val="32"/>
        </w:rPr>
      </w:pPr>
      <w:r>
        <w:rPr>
          <w:rFonts w:hint="eastAsia" w:ascii="黑体" w:hAnsi="黑体" w:eastAsia="黑体" w:cs="黑体"/>
          <w:sz w:val="32"/>
          <w:szCs w:val="32"/>
          <w:lang w:eastAsia="zh-CN"/>
        </w:rPr>
        <w:t>机构设置情况</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三亚市红十字会设</w:t>
      </w:r>
      <w:r>
        <w:rPr>
          <w:rFonts w:hint="default" w:ascii="仿宋_GB2312" w:hAnsi="仿宋_GB2312" w:eastAsia="仿宋_GB2312" w:cs="仿宋_GB2312"/>
          <w:color w:val="000000"/>
          <w:kern w:val="2"/>
          <w:sz w:val="32"/>
          <w:szCs w:val="32"/>
          <w:lang w:eastAsia="zh-CN" w:bidi="ar-SA"/>
          <w:woUserID w:val="1"/>
        </w:rPr>
        <w:t>有办公室</w:t>
      </w:r>
      <w:bookmarkStart w:id="3" w:name="_GoBack"/>
      <w:bookmarkEnd w:id="3"/>
      <w:r>
        <w:rPr>
          <w:rFonts w:hint="eastAsia" w:ascii="仿宋_GB2312" w:hAnsi="仿宋_GB2312" w:eastAsia="仿宋_GB2312" w:cs="仿宋_GB2312"/>
          <w:color w:val="000000"/>
          <w:kern w:val="2"/>
          <w:sz w:val="32"/>
          <w:szCs w:val="32"/>
          <w:lang w:val="en-US" w:eastAsia="zh-CN" w:bidi="ar-SA"/>
        </w:rPr>
        <w:t>1个内设机构，机关行政编制2名，设常务副会长1名，科级领导职数1名（正科级）。</w:t>
      </w:r>
    </w:p>
    <w:p>
      <w:pPr>
        <w:ind w:firstLine="640" w:firstLineChars="20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color w:val="000000"/>
          <w:kern w:val="2"/>
          <w:sz w:val="32"/>
          <w:szCs w:val="32"/>
          <w:lang w:val="en-US" w:eastAsia="zh-CN" w:bidi="ar-SA"/>
        </w:rPr>
        <w:t>纳入三亚市红十字会部门2022年部门预算编制范围的预算单位为三亚市红十字会本级</w:t>
      </w:r>
      <w:r>
        <w:rPr>
          <w:rFonts w:hint="eastAsia" w:ascii="仿宋_GB2312" w:hAnsi="仿宋_GB2312" w:eastAsia="仿宋_GB2312" w:cs="仿宋_GB2312"/>
          <w:sz w:val="32"/>
          <w:szCs w:val="32"/>
          <w:lang w:eastAsia="zh-CN"/>
        </w:rPr>
        <w:t>。</w:t>
      </w:r>
    </w:p>
    <w:p>
      <w:pPr>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年部门预算表</w:t>
      </w:r>
    </w:p>
    <w:p>
      <w:pPr>
        <w:ind w:left="800"/>
        <w:jc w:val="left"/>
        <w:rPr>
          <w:rFonts w:ascii="Times New Roman" w:hAnsi="Times New Roman" w:eastAsia="黑体" w:cs="Times New Roman"/>
          <w:sz w:val="32"/>
          <w:szCs w:val="32"/>
        </w:rPr>
      </w:pPr>
    </w:p>
    <w:p>
      <w:pPr>
        <w:ind w:left="800"/>
        <w:jc w:val="center"/>
        <w:outlineLvl w:val="1"/>
        <w:rPr>
          <w:rFonts w:hint="eastAsia" w:ascii="黑体" w:hAnsi="黑体" w:eastAsia="黑体" w:cs="黑体"/>
          <w:b/>
          <w:sz w:val="32"/>
          <w:szCs w:val="32"/>
        </w:rPr>
      </w:pPr>
      <w:r>
        <w:rPr>
          <w:rFonts w:hint="eastAsia" w:ascii="黑体" w:hAnsi="黑体" w:eastAsia="黑体" w:cs="黑体"/>
          <w:b/>
          <w:sz w:val="32"/>
          <w:szCs w:val="32"/>
        </w:rPr>
        <w:t>（此部分内容即为部门预算公开表）</w:t>
      </w:r>
    </w:p>
    <w:p>
      <w:pPr>
        <w:rPr>
          <w:rFonts w:ascii="Times New Roman" w:hAnsi="Times New Roman" w:eastAsia="黑体" w:cs="Times New Roman"/>
          <w:sz w:val="32"/>
          <w:szCs w:val="32"/>
        </w:rPr>
      </w:pPr>
    </w:p>
    <w:p>
      <w:pPr>
        <w:ind w:firstLine="480" w:firstLineChars="150"/>
        <w:outlineLvl w:val="0"/>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三亚市红十字会</w:t>
      </w:r>
      <w:r>
        <w:rPr>
          <w:rFonts w:hint="eastAsia" w:ascii="黑体" w:hAnsi="黑体" w:eastAsia="黑体" w:cs="黑体"/>
          <w:sz w:val="32"/>
          <w:szCs w:val="32"/>
          <w:lang w:val="en-US" w:eastAsia="zh-CN"/>
        </w:rPr>
        <w:t>2022</w:t>
      </w:r>
      <w:r>
        <w:rPr>
          <w:rFonts w:hint="eastAsia" w:ascii="黑体" w:hAnsi="黑体" w:eastAsia="黑体" w:cs="黑体"/>
          <w:sz w:val="32"/>
          <w:szCs w:val="32"/>
        </w:rPr>
        <w:t>年预算情况说明</w:t>
      </w:r>
    </w:p>
    <w:p>
      <w:pPr>
        <w:jc w:val="center"/>
        <w:rPr>
          <w:rFonts w:ascii="Times New Roman" w:hAnsi="Times New Roman" w:eastAsia="黑体" w:cs="Times New Roman"/>
          <w:sz w:val="32"/>
          <w:szCs w:val="32"/>
        </w:rPr>
      </w:pPr>
    </w:p>
    <w:p>
      <w:pPr>
        <w:ind w:firstLine="640" w:firstLineChars="200"/>
        <w:jc w:val="left"/>
        <w:outlineLvl w:val="1"/>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eastAsia="zh-CN"/>
        </w:rPr>
        <w:t>三亚市红十字会</w:t>
      </w:r>
      <w:r>
        <w:rPr>
          <w:rFonts w:hint="eastAsia" w:ascii="黑体" w:hAnsi="黑体" w:eastAsia="黑体" w:cs="黑体"/>
          <w:sz w:val="32"/>
          <w:szCs w:val="32"/>
        </w:rPr>
        <w:t>（部门）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万元，包括</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lang w:val="en-US" w:eastAsia="zh-CN"/>
        </w:rPr>
        <w:t>459.58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lang w:val="en-US" w:eastAsia="zh-CN"/>
        </w:rPr>
        <w:t>19.3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9.79</w:t>
      </w:r>
      <w:r>
        <w:rPr>
          <w:rFonts w:hint="eastAsia" w:ascii="仿宋_GB2312" w:hAnsi="仿宋_GB2312" w:eastAsia="仿宋_GB2312" w:cs="仿宋_GB2312"/>
          <w:sz w:val="32"/>
          <w:szCs w:val="32"/>
        </w:rPr>
        <w:t>万元，结转下年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jc w:val="left"/>
        <w:outlineLvl w:val="1"/>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sz w:val="32"/>
          <w:szCs w:val="32"/>
          <w:lang w:eastAsia="zh-CN"/>
        </w:rPr>
        <w:t>三亚市红十字会</w:t>
      </w:r>
      <w:r>
        <w:rPr>
          <w:rFonts w:hint="eastAsia" w:ascii="黑体" w:hAnsi="黑体" w:eastAsia="黑体" w:cs="黑体"/>
          <w:sz w:val="32"/>
          <w:szCs w:val="32"/>
        </w:rPr>
        <w:t>（部门）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年一般公共预算当年拨款情况说明</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199.79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新增遗体器官捐献纪念园建设项目</w:t>
      </w:r>
      <w:r>
        <w:rPr>
          <w:rFonts w:hint="eastAsia" w:ascii="仿宋_GB2312" w:hAnsi="仿宋_GB2312" w:eastAsia="仿宋_GB2312" w:cs="仿宋_GB2312"/>
          <w:sz w:val="32"/>
          <w:szCs w:val="32"/>
          <w:lang w:val="en-US" w:eastAsia="zh-CN"/>
        </w:rPr>
        <w:t>196.00万元，人员经费、公用支出等经费的增加。</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459.58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94.05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19.3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3.95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9.79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机关事业单位基本养老缴费支出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11.55</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0.14</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在职人员养老缴费基数增加，养老保险缴费支出相应增加。</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2. </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红十字事业</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229.03</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96.71</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2021年综合经费放其他红十字事业支出功能分类，2022年归为行政运行，为项目经费96万元，基本支出133.03万元</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红十字事业</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其他红十字事业支出</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219.00</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104.00</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val="en-US" w:eastAsia="zh-CN"/>
        </w:rPr>
        <w:t>2022年新增遗体器官捐献纪念园建设项目196万元；宣传教育项目23万在其他红十字事业支出列支；2021年在其他红十字事业支出列支的综合工作经费，2022年列支到行政运行（项）。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行政单位医疗</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2022年预算数为6.14万元，比上年预算数增加0.08万元，主要是2022年医疗保险基数增加，保险费用相应的增加。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公务员医疗补助</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2022年预算数为13.16万元，比上年预算数减少1.06万元，主要是有1名退休公务员去世，减少发放1人公务员医疗补助费。</w:t>
      </w:r>
    </w:p>
    <w:p>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6.住房保障支出（类）住房改革支出（款）住房公积金（项）2022年预算数为9.79万元，比上年预算数减少0.08万元，主要是上年度数有偏差，多算了住房公积金预算数。</w:t>
      </w:r>
    </w:p>
    <w:p>
      <w:pPr>
        <w:ind w:firstLine="640"/>
        <w:outlineLvl w:val="1"/>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eastAsia="zh-CN"/>
        </w:rPr>
        <w:t>三亚市红十字会</w:t>
      </w:r>
      <w:r>
        <w:rPr>
          <w:rFonts w:hint="eastAsia" w:ascii="黑体" w:hAnsi="黑体" w:eastAsia="黑体" w:cs="黑体"/>
          <w:sz w:val="32"/>
          <w:szCs w:val="32"/>
        </w:rPr>
        <w:t>（部门）</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173.67</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158.28</w:t>
      </w:r>
      <w:r>
        <w:rPr>
          <w:rFonts w:hint="eastAsia" w:ascii="仿宋_GB2312" w:hAnsi="仿宋_GB2312" w:eastAsia="仿宋_GB2312" w:cs="仿宋_GB2312"/>
          <w:sz w:val="32"/>
          <w:szCs w:val="32"/>
        </w:rPr>
        <w:t>万元，主要包括：基本工资、津贴补贴、奖金、机关事业单位基本养老保险缴费、职工基本医疗保险缴费</w:t>
      </w:r>
      <w:r>
        <w:rPr>
          <w:rFonts w:hint="eastAsia" w:ascii="仿宋_GB2312" w:hAnsi="仿宋_GB2312" w:eastAsia="仿宋_GB2312" w:cs="仿宋_GB2312"/>
          <w:sz w:val="32"/>
          <w:szCs w:val="32"/>
          <w:lang w:eastAsia="zh-CN"/>
        </w:rPr>
        <w:t>、公务员医疗补助缴费、其他社会保障缴费、住房公积金、医疗费、其他工资福利支出、邮电费、其他交通费、奖励金。</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15.4</w:t>
      </w:r>
      <w:r>
        <w:rPr>
          <w:rFonts w:hint="eastAsia" w:ascii="仿宋_GB2312" w:hAnsi="仿宋_GB2312" w:eastAsia="仿宋_GB2312" w:cs="仿宋_GB2312"/>
          <w:sz w:val="32"/>
          <w:szCs w:val="32"/>
        </w:rPr>
        <w:t>万元，主要包括：</w:t>
      </w:r>
      <w:r>
        <w:rPr>
          <w:rFonts w:hint="eastAsia" w:ascii="仿宋_GB2312" w:hAnsi="仿宋_GB2312" w:eastAsia="仿宋_GB2312" w:cs="仿宋_GB2312"/>
          <w:sz w:val="32"/>
          <w:szCs w:val="32"/>
          <w:lang w:eastAsia="zh-CN"/>
        </w:rPr>
        <w:t>其他社会保障缴费、办公费、邮电费、会议费、培训费、工会经费、福利费、公务用车运行维护费、其他商品和服务支出、生活补助</w:t>
      </w:r>
      <w:r>
        <w:rPr>
          <w:rFonts w:hint="eastAsia" w:ascii="仿宋_GB2312" w:hAnsi="仿宋_GB2312" w:eastAsia="仿宋_GB2312" w:cs="仿宋_GB2312"/>
          <w:sz w:val="32"/>
          <w:szCs w:val="32"/>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sz w:val="32"/>
          <w:shd w:val="clear" w:color="auto" w:fill="FFFFFF"/>
          <w:lang w:eastAsia="zh-CN"/>
        </w:rPr>
        <w:t>三亚市红十字会</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年“三公”经费预算情况说明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万元，其中：</w:t>
      </w:r>
    </w:p>
    <w:p>
      <w:pPr>
        <w:ind w:firstLine="63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，与上年预算持平。根据安排的</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hd w:val="clear" w:color="auto" w:fill="FFFFFF"/>
        </w:rPr>
        <w:t>年出国计划，拟安排出国（境）团（组）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人。公务用车购置及运行费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hd w:val="clear" w:color="auto" w:fill="FFFFFF"/>
        </w:rPr>
        <w:t>万元，与上年预算持平，计划接待</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 xml:space="preserve">    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。与上年预算持平。根据安排的</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hd w:val="clear" w:color="auto" w:fill="FFFFFF"/>
        </w:rPr>
        <w:t>年出国计划，拟安排出国（境）组</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hd w:val="clear" w:color="auto" w:fill="FFFFFF"/>
        </w:rPr>
        <w:t>次，出国（境）</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hd w:val="clear" w:color="auto" w:fill="FFFFFF"/>
        </w:rPr>
        <w:t>人。公务用车购置及运行费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hd w:val="clear" w:color="auto" w:fill="FFFFFF"/>
        </w:rPr>
        <w:t>计划接待</w:t>
      </w:r>
      <w:r>
        <w:rPr>
          <w:rFonts w:hint="eastAsia" w:ascii="仿宋_GB2312" w:hAnsi="仿宋_GB2312" w:eastAsia="仿宋_GB2312" w:cs="仿宋_GB2312"/>
          <w:sz w:val="32"/>
          <w:shd w:val="clear" w:color="auto" w:fill="FFFFFF"/>
          <w:lang w:val="en-US" w:eastAsia="zh-CN"/>
        </w:rPr>
        <w:t>0</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年政府性基金预算当年拨款情况说明</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（一）政府性基金预算当年规模变化情况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万元，比上年预算数持平</w:t>
      </w:r>
      <w:r>
        <w:rPr>
          <w:rFonts w:hint="eastAsia" w:ascii="仿宋_GB2312" w:hAnsi="仿宋_GB2312" w:eastAsia="仿宋_GB2312" w:cs="仿宋_GB2312"/>
          <w:sz w:val="32"/>
          <w:szCs w:val="32"/>
          <w:lang w:eastAsia="zh-CN"/>
        </w:rPr>
        <w:t>。</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（二）政府性基金预算当年拨款结构情况</w:t>
      </w:r>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科学技术支出（类）支出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%；文化体育与传媒支出（类）支出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%；社会保障和就业支出（类）支出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%；节能环保（类）支出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ind w:firstLine="640"/>
        <w:jc w:val="lef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（三）政府性基金预算当年拨款具体使用情况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科学技术支出（类）核电站乏燃料处理处置基金支出（款）乏燃料运输（项）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上年预算数</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科学技术支出（类）核电站乏燃料处理处置基金支出（款）乏燃料离堆贮存（项）</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上年预算数持平。</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六、关于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年收支预算情况的总体说明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（部门）所有收入和支出均纳入部门预算管理。收入包括：一般公共预算收入</w:t>
      </w:r>
      <w:r>
        <w:rPr>
          <w:rFonts w:hint="eastAsia" w:ascii="仿宋_GB2312" w:hAnsi="仿宋_GB2312" w:eastAsia="仿宋_GB2312" w:cs="仿宋_GB2312"/>
          <w:sz w:val="32"/>
          <w:szCs w:val="32"/>
          <w:lang w:eastAsia="zh-CN"/>
        </w:rPr>
        <w:t>、其他收入、上年结转；</w:t>
      </w:r>
      <w:r>
        <w:rPr>
          <w:rFonts w:hint="eastAsia" w:ascii="仿宋_GB2312" w:hAnsi="仿宋_GB2312" w:eastAsia="仿宋_GB2312" w:cs="仿宋_GB2312"/>
          <w:sz w:val="32"/>
          <w:szCs w:val="32"/>
        </w:rPr>
        <w:t>支出包括：社会保障和就业支出、 卫生健康支出、住房保障支出</w:t>
      </w:r>
      <w:r>
        <w:rPr>
          <w:rFonts w:hint="eastAsia" w:ascii="仿宋_GB2312" w:hAnsi="仿宋_GB2312" w:eastAsia="仿宋_GB2312" w:cs="仿宋_GB2312"/>
          <w:sz w:val="32"/>
          <w:szCs w:val="32"/>
          <w:lang w:eastAsia="zh-CN"/>
        </w:rPr>
        <w:t>、结转下年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539.67</w:t>
      </w:r>
      <w:r>
        <w:rPr>
          <w:rFonts w:hint="eastAsia" w:ascii="仿宋_GB2312" w:hAnsi="仿宋_GB2312" w:eastAsia="仿宋_GB2312" w:cs="仿宋_GB2312"/>
          <w:sz w:val="32"/>
          <w:szCs w:val="32"/>
        </w:rPr>
        <w:t>万元。</w:t>
      </w:r>
    </w:p>
    <w:p>
      <w:pPr>
        <w:ind w:firstLine="640" w:firstLineChars="200"/>
        <w:outlineLvl w:val="1"/>
        <w:rPr>
          <w:rFonts w:hint="eastAsia" w:ascii="仿宋_GB2312" w:hAnsi="仿宋_GB2312" w:eastAsia="仿宋_GB2312" w:cs="仿宋_GB2312"/>
          <w:sz w:val="32"/>
          <w:shd w:val="clear" w:color="auto" w:fill="FFFFFF"/>
        </w:rPr>
      </w:pPr>
      <w:r>
        <w:rPr>
          <w:rFonts w:hint="eastAsia" w:ascii="黑体" w:hAnsi="黑体" w:eastAsia="黑体" w:cs="黑体"/>
          <w:sz w:val="32"/>
          <w:shd w:val="clear" w:color="auto" w:fill="FFFFFF"/>
        </w:rPr>
        <w:t>七、关于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年收入预算情况说明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539.67</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%；经费拨款收入</w:t>
      </w:r>
      <w:r>
        <w:rPr>
          <w:rFonts w:hint="eastAsia" w:ascii="仿宋_GB2312" w:hAnsi="仿宋_GB2312" w:eastAsia="仿宋_GB2312" w:cs="仿宋_GB2312"/>
          <w:sz w:val="32"/>
          <w:szCs w:val="32"/>
          <w:lang w:val="en-US" w:eastAsia="zh-CN"/>
        </w:rPr>
        <w:t>488.67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,90.55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其他收入</w:t>
      </w:r>
      <w:r>
        <w:rPr>
          <w:rFonts w:hint="eastAsia" w:ascii="仿宋_GB2312" w:hAnsi="仿宋_GB2312" w:eastAsia="仿宋_GB2312" w:cs="仿宋_GB2312"/>
          <w:sz w:val="32"/>
          <w:szCs w:val="32"/>
          <w:lang w:val="en-US" w:eastAsia="zh-CN"/>
        </w:rPr>
        <w:t>20万元，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3.71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；上年结转收入</w:t>
      </w:r>
      <w:r>
        <w:rPr>
          <w:rFonts w:hint="eastAsia" w:ascii="仿宋_GB2312" w:hAnsi="仿宋_GB2312" w:eastAsia="仿宋_GB2312" w:cs="仿宋_GB2312"/>
          <w:sz w:val="32"/>
          <w:szCs w:val="32"/>
          <w:lang w:val="en-US" w:eastAsia="zh-CN"/>
        </w:rPr>
        <w:t>31万元，占5.74%。</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235.29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新增遗体器官捐献纪念园建设项目</w:t>
      </w:r>
      <w:r>
        <w:rPr>
          <w:rFonts w:hint="eastAsia" w:ascii="仿宋_GB2312" w:hAnsi="仿宋_GB2312" w:eastAsia="仿宋_GB2312" w:cs="仿宋_GB2312"/>
          <w:sz w:val="32"/>
          <w:szCs w:val="32"/>
          <w:lang w:val="en-US" w:eastAsia="zh-CN"/>
        </w:rPr>
        <w:t>196.00万元；上年结转增加；人员经费、公用支出等经费的增加。</w:t>
      </w:r>
      <w:r>
        <w:rPr>
          <w:rFonts w:hint="eastAsia" w:ascii="仿宋_GB2312" w:hAnsi="仿宋_GB2312" w:eastAsia="仿宋_GB2312" w:cs="仿宋_GB2312"/>
          <w:sz w:val="32"/>
          <w:szCs w:val="32"/>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sz w:val="32"/>
          <w:szCs w:val="32"/>
          <w:lang w:eastAsia="zh-CN"/>
        </w:rPr>
        <w:t>三亚市红十字会</w:t>
      </w:r>
      <w:r>
        <w:rPr>
          <w:rFonts w:hint="eastAsia" w:ascii="黑体" w:hAnsi="黑体" w:eastAsia="黑体" w:cs="黑体"/>
          <w:sz w:val="32"/>
          <w:shd w:val="clear" w:color="auto" w:fill="FFFFFF"/>
        </w:rPr>
        <w:t>（部门）</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年支出预算情况说明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498.67</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173.68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34.83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325.00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65.17</w:t>
      </w:r>
      <w:r>
        <w:rPr>
          <w:rFonts w:hint="eastAsia" w:ascii="仿宋_GB2312" w:hAnsi="仿宋_GB2312" w:eastAsia="仿宋_GB2312" w:cs="仿宋_GB2312"/>
          <w:sz w:val="32"/>
          <w:szCs w:val="32"/>
        </w:rPr>
        <w:t>%。比上年预算数增加</w:t>
      </w:r>
      <w:r>
        <w:rPr>
          <w:rFonts w:hint="eastAsia" w:ascii="仿宋_GB2312" w:hAnsi="仿宋_GB2312" w:eastAsia="仿宋_GB2312" w:cs="仿宋_GB2312"/>
          <w:sz w:val="32"/>
          <w:szCs w:val="32"/>
          <w:lang w:val="en-US" w:eastAsia="zh-CN"/>
        </w:rPr>
        <w:t>196.5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新增遗体器官捐献纪念园建设项目</w:t>
      </w:r>
      <w:r>
        <w:rPr>
          <w:rFonts w:hint="eastAsia" w:ascii="仿宋_GB2312" w:hAnsi="仿宋_GB2312" w:eastAsia="仿宋_GB2312" w:cs="仿宋_GB2312"/>
          <w:sz w:val="32"/>
          <w:szCs w:val="32"/>
        </w:rPr>
        <w:t>。</w:t>
      </w:r>
    </w:p>
    <w:p>
      <w:pPr>
        <w:ind w:firstLine="640" w:firstLineChars="200"/>
        <w:outlineLvl w:val="1"/>
        <w:rPr>
          <w:rFonts w:hint="eastAsia" w:ascii="黑体" w:hAnsi="黑体" w:eastAsia="黑体" w:cs="黑体"/>
          <w:sz w:val="32"/>
          <w:shd w:val="clear" w:color="auto" w:fill="FFFFFF"/>
        </w:rPr>
      </w:pPr>
      <w:r>
        <w:rPr>
          <w:rFonts w:hint="eastAsia" w:ascii="黑体" w:hAnsi="黑体" w:eastAsia="黑体" w:cs="黑体"/>
          <w:sz w:val="32"/>
          <w:shd w:val="clear" w:color="auto" w:fill="FFFFFF"/>
        </w:rPr>
        <w:t>九、其他重要事项的情况说明</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eastAsia="zh-CN"/>
        </w:rPr>
        <w:t>需说明，其他单位不需要说明</w:t>
      </w:r>
      <w:r>
        <w:rPr>
          <w:rFonts w:hint="eastAsia" w:ascii="仿宋_GB2312" w:hAnsi="仿宋_GB2312" w:eastAsia="仿宋_GB2312" w:cs="仿宋_GB2312"/>
          <w:sz w:val="32"/>
          <w:szCs w:val="32"/>
          <w:lang w:val="en-US"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（部门本级）的机关运行经费预算</w:t>
      </w:r>
      <w:r>
        <w:rPr>
          <w:rFonts w:hint="eastAsia" w:ascii="仿宋_GB2312" w:hAnsi="仿宋_GB2312" w:eastAsia="仿宋_GB2312" w:cs="仿宋_GB2312"/>
          <w:sz w:val="32"/>
          <w:szCs w:val="32"/>
          <w:lang w:val="en-US" w:eastAsia="zh-CN"/>
        </w:rPr>
        <w:t>15.40</w:t>
      </w:r>
      <w:r>
        <w:rPr>
          <w:rFonts w:hint="eastAsia" w:ascii="仿宋_GB2312" w:hAnsi="仿宋_GB2312" w:eastAsia="仿宋_GB2312" w:cs="仿宋_GB2312"/>
          <w:sz w:val="32"/>
          <w:szCs w:val="32"/>
        </w:rPr>
        <w:t>万元。</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三亚市红十字会（部门）</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196</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highlight w:val="none"/>
          <w:lang w:val="en-US"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val="en-US" w:eastAsia="zh-CN"/>
        </w:rPr>
        <w:t>三亚市红十字会</w:t>
      </w:r>
      <w:r>
        <w:rPr>
          <w:rFonts w:hint="eastAsia" w:ascii="仿宋_GB2312" w:hAnsi="仿宋_GB2312" w:eastAsia="仿宋_GB2312" w:cs="仿宋_GB2312"/>
          <w:sz w:val="32"/>
          <w:szCs w:val="32"/>
        </w:rPr>
        <w:t>（部门）本级及下属各预算单位共有车辆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三亚市红十字会</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highlight w:val="none"/>
          <w:lang w:val="en-US" w:eastAsia="zh-CN"/>
        </w:rPr>
        <w:t>12</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highlight w:val="none"/>
          <w:lang w:val="en-US" w:eastAsia="zh-CN"/>
        </w:rPr>
        <w:t>498.67</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outlineLvl w:val="0"/>
        <w:rPr>
          <w:rFonts w:hint="eastAsia" w:ascii="黑体" w:hAnsi="黑体" w:eastAsia="黑体" w:cs="黑体"/>
          <w:b/>
          <w:sz w:val="32"/>
          <w:szCs w:val="32"/>
        </w:rPr>
      </w:pPr>
      <w:r>
        <w:rPr>
          <w:rFonts w:hint="eastAsia" w:ascii="黑体" w:hAnsi="黑体" w:eastAsia="黑体" w:cs="黑体"/>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一、财政拨款收入：指本级财政当年拨付的资金。</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二、事业收入：指事业单位开展专业业务活动及辅助活动取得的收入。</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四、其他收入：指除上述“财政拨款收入”“事业收入”“经营收入”等以外的收入。</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五、年初结转和结余：指以前年度尚未完成、结转到本年按有关规定继续使用的资金。</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十、项目支出：指各部门、各单位为完成其特定的工作任务和事业发展目标所发生的支出。</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_GB2312" w:hAnsi="仿宋_GB2312" w:eastAsia="仿宋_GB2312" w:cs="仿宋_GB2312"/>
          <w:color w:val="000000"/>
          <w:kern w:val="0"/>
          <w:sz w:val="32"/>
          <w:szCs w:val="30"/>
        </w:rPr>
      </w:pPr>
      <w:r>
        <w:rPr>
          <w:rFonts w:hint="eastAsia" w:ascii="仿宋_GB2312" w:hAnsi="仿宋_GB2312" w:eastAsia="仿宋_GB2312" w:cs="仿宋_GB2312"/>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jc w:val="left"/>
        <w:rPr>
          <w:rFonts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2010609030101010101"/>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黑体">
    <w:altName w:val="汉仪中黑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0438B"/>
    <w:rsid w:val="03FF127E"/>
    <w:rsid w:val="06006EE6"/>
    <w:rsid w:val="06F3282D"/>
    <w:rsid w:val="0972341C"/>
    <w:rsid w:val="0AAC403A"/>
    <w:rsid w:val="0B9E7961"/>
    <w:rsid w:val="0C275939"/>
    <w:rsid w:val="134D6A3F"/>
    <w:rsid w:val="15C2067C"/>
    <w:rsid w:val="15C94557"/>
    <w:rsid w:val="176F1C95"/>
    <w:rsid w:val="1D400649"/>
    <w:rsid w:val="1EA27F11"/>
    <w:rsid w:val="1EE507B9"/>
    <w:rsid w:val="1EF95EAF"/>
    <w:rsid w:val="20310CA3"/>
    <w:rsid w:val="2615680D"/>
    <w:rsid w:val="27443243"/>
    <w:rsid w:val="288F057D"/>
    <w:rsid w:val="2A112583"/>
    <w:rsid w:val="2C61758E"/>
    <w:rsid w:val="2E192633"/>
    <w:rsid w:val="32924953"/>
    <w:rsid w:val="33506841"/>
    <w:rsid w:val="33A9090F"/>
    <w:rsid w:val="34556F5A"/>
    <w:rsid w:val="38785061"/>
    <w:rsid w:val="3C623AB4"/>
    <w:rsid w:val="3E3B6E43"/>
    <w:rsid w:val="438B5DC6"/>
    <w:rsid w:val="46415812"/>
    <w:rsid w:val="47D505D7"/>
    <w:rsid w:val="48020867"/>
    <w:rsid w:val="48572E81"/>
    <w:rsid w:val="48B53425"/>
    <w:rsid w:val="49D402E4"/>
    <w:rsid w:val="49F35CEE"/>
    <w:rsid w:val="4DEF2C69"/>
    <w:rsid w:val="5362029C"/>
    <w:rsid w:val="548E7CBF"/>
    <w:rsid w:val="5D106595"/>
    <w:rsid w:val="5DD40C32"/>
    <w:rsid w:val="5E32654D"/>
    <w:rsid w:val="63CA485F"/>
    <w:rsid w:val="654F62AC"/>
    <w:rsid w:val="69D056E7"/>
    <w:rsid w:val="6E874AC5"/>
    <w:rsid w:val="72B3485C"/>
    <w:rsid w:val="744257B2"/>
    <w:rsid w:val="779E5343"/>
    <w:rsid w:val="78695F81"/>
    <w:rsid w:val="7A062C2F"/>
    <w:rsid w:val="7AA33D04"/>
    <w:rsid w:val="7DEBCAFF"/>
    <w:rsid w:val="7EDF2B99"/>
    <w:rsid w:val="7F9C735D"/>
    <w:rsid w:val="D99AC659"/>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9</TotalTime>
  <ScaleCrop>false</ScaleCrop>
  <LinksUpToDate>false</LinksUpToDate>
  <CharactersWithSpaces>0</CharactersWithSpaces>
  <Application>WWO_openplatform_20210902171309-902389ccc8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黄德健</cp:lastModifiedBy>
  <dcterms:modified xsi:type="dcterms:W3CDTF">2023-09-28T20:44:27Z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C7A6686602267E10700DAE64BC127943</vt:lpwstr>
  </property>
  <property fmtid="{D5CDD505-2E9C-101B-9397-08002B2CF9AE}" pid="4" name="woTemplateTypoMode" linkTarget="0">
    <vt:lpwstr>web</vt:lpwstr>
  </property>
  <property fmtid="{D5CDD505-2E9C-101B-9397-08002B2CF9AE}" pid="5" name="woTemplate" linkTarget="0">
    <vt:i4>1</vt:i4>
  </property>
</Properties>
</file>