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highlight w:val="none"/>
          <w:u w:val="single"/>
          <w14:textFill>
            <w14:solidFill>
              <w14:schemeClr w14:val="tx1"/>
            </w14:solidFill>
          </w14:textFill>
        </w:rPr>
      </w:pPr>
    </w:p>
    <w:p>
      <w:pPr>
        <w:rPr>
          <w:color w:val="000000" w:themeColor="text1"/>
          <w:sz w:val="84"/>
          <w:szCs w:val="84"/>
          <w:highlight w:val="none"/>
          <w:u w:val="single"/>
          <w14:textFill>
            <w14:solidFill>
              <w14:schemeClr w14:val="tx1"/>
            </w14:solidFill>
          </w14:textFill>
        </w:rPr>
      </w:pPr>
    </w:p>
    <w:p>
      <w:pPr>
        <w:rPr>
          <w:color w:val="000000" w:themeColor="text1"/>
          <w:sz w:val="84"/>
          <w:szCs w:val="84"/>
          <w:highlight w:val="none"/>
          <w:u w:val="single"/>
          <w14:textFill>
            <w14:solidFill>
              <w14:schemeClr w14:val="tx1"/>
            </w14:solidFill>
          </w14:textFill>
        </w:rPr>
      </w:pPr>
    </w:p>
    <w:p>
      <w:pPr>
        <w:rPr>
          <w:rFonts w:ascii="宋体" w:hAnsi="宋体" w:cs="宋体"/>
          <w:color w:val="000000" w:themeColor="text1"/>
          <w:sz w:val="52"/>
          <w:szCs w:val="52"/>
          <w:highlight w:val="none"/>
          <w:u w:val="single"/>
          <w14:textFill>
            <w14:solidFill>
              <w14:schemeClr w14:val="tx1"/>
            </w14:solidFill>
          </w14:textFill>
        </w:rPr>
      </w:pPr>
    </w:p>
    <w:p>
      <w:pPr>
        <w:jc w:val="center"/>
        <w:rPr>
          <w:rFonts w:ascii="宋体" w:hAnsi="宋体" w:cs="宋体"/>
          <w:color w:val="000000" w:themeColor="text1"/>
          <w:sz w:val="52"/>
          <w:szCs w:val="52"/>
          <w:highlight w:val="none"/>
          <w14:textFill>
            <w14:solidFill>
              <w14:schemeClr w14:val="tx1"/>
            </w14:solidFill>
          </w14:textFill>
        </w:rPr>
      </w:pPr>
      <w:r>
        <w:rPr>
          <w:rFonts w:hint="eastAsia" w:ascii="宋体" w:hAnsi="宋体" w:cs="宋体"/>
          <w:color w:val="000000" w:themeColor="text1"/>
          <w:sz w:val="52"/>
          <w:szCs w:val="52"/>
          <w:highlight w:val="none"/>
          <w14:textFill>
            <w14:solidFill>
              <w14:schemeClr w14:val="tx1"/>
            </w14:solidFill>
          </w14:textFill>
        </w:rPr>
        <w:t>2022年上海外国语大学三亚附属中学单位预算</w:t>
      </w:r>
    </w:p>
    <w:p>
      <w:pPr>
        <w:ind w:firstLine="1680"/>
        <w:jc w:val="center"/>
        <w:rPr>
          <w:color w:val="000000" w:themeColor="text1"/>
          <w:sz w:val="84"/>
          <w:szCs w:val="84"/>
          <w:highlight w:val="none"/>
          <w14:textFill>
            <w14:solidFill>
              <w14:schemeClr w14:val="tx1"/>
            </w14:solidFill>
          </w14:textFill>
        </w:rPr>
      </w:pPr>
    </w:p>
    <w:p>
      <w:pPr>
        <w:ind w:firstLine="1680"/>
        <w:jc w:val="center"/>
        <w:rPr>
          <w:color w:val="000000" w:themeColor="text1"/>
          <w:sz w:val="84"/>
          <w:szCs w:val="84"/>
          <w:highlight w:val="none"/>
          <w14:textFill>
            <w14:solidFill>
              <w14:schemeClr w14:val="tx1"/>
            </w14:solidFill>
          </w14:textFill>
        </w:rPr>
      </w:pPr>
    </w:p>
    <w:p>
      <w:pPr>
        <w:ind w:firstLine="1680"/>
        <w:jc w:val="center"/>
        <w:rPr>
          <w:color w:val="000000" w:themeColor="text1"/>
          <w:sz w:val="84"/>
          <w:szCs w:val="84"/>
          <w:highlight w:val="none"/>
          <w14:textFill>
            <w14:solidFill>
              <w14:schemeClr w14:val="tx1"/>
            </w14:solidFill>
          </w14:textFill>
        </w:rPr>
      </w:pPr>
    </w:p>
    <w:p>
      <w:pPr>
        <w:ind w:firstLine="1680"/>
        <w:jc w:val="center"/>
        <w:rPr>
          <w:color w:val="000000" w:themeColor="text1"/>
          <w:sz w:val="84"/>
          <w:szCs w:val="84"/>
          <w:highlight w:val="none"/>
          <w14:textFill>
            <w14:solidFill>
              <w14:schemeClr w14:val="tx1"/>
            </w14:solidFill>
          </w14:textFill>
        </w:rPr>
      </w:pPr>
    </w:p>
    <w:p>
      <w:pPr>
        <w:ind w:firstLine="1680"/>
        <w:jc w:val="center"/>
        <w:rPr>
          <w:color w:val="000000" w:themeColor="text1"/>
          <w:sz w:val="84"/>
          <w:szCs w:val="84"/>
          <w:highlight w:val="none"/>
          <w14:textFill>
            <w14:solidFill>
              <w14:schemeClr w14:val="tx1"/>
            </w14:solidFill>
          </w14:textFill>
        </w:rPr>
      </w:pPr>
    </w:p>
    <w:p>
      <w:pPr>
        <w:rPr>
          <w:color w:val="000000" w:themeColor="text1"/>
          <w:sz w:val="84"/>
          <w:szCs w:val="84"/>
          <w:highlight w:val="none"/>
          <w14:textFill>
            <w14:solidFill>
              <w14:schemeClr w14:val="tx1"/>
            </w14:solidFill>
          </w14:textFill>
        </w:rPr>
      </w:pPr>
    </w:p>
    <w:p>
      <w:pPr>
        <w:jc w:val="center"/>
        <w:rPr>
          <w:rFonts w:ascii="黑体" w:hAnsi="黑体" w:eastAsia="黑体"/>
          <w:color w:val="000000" w:themeColor="text1"/>
          <w:sz w:val="52"/>
          <w:szCs w:val="52"/>
          <w:highlight w:val="none"/>
          <w14:textFill>
            <w14:solidFill>
              <w14:schemeClr w14:val="tx1"/>
            </w14:solidFill>
          </w14:textFill>
        </w:rPr>
      </w:pPr>
      <w:r>
        <w:rPr>
          <w:rFonts w:hint="eastAsia" w:ascii="黑体" w:hAnsi="黑体" w:eastAsia="黑体"/>
          <w:color w:val="000000" w:themeColor="text1"/>
          <w:sz w:val="52"/>
          <w:szCs w:val="52"/>
          <w:highlight w:val="none"/>
          <w14:textFill>
            <w14:solidFill>
              <w14:schemeClr w14:val="tx1"/>
            </w14:solidFill>
          </w14:textFill>
        </w:rPr>
        <w:t>目录</w:t>
      </w:r>
    </w:p>
    <w:p>
      <w:pPr>
        <w:pStyle w:val="7"/>
        <w:numPr>
          <w:ilvl w:val="0"/>
          <w:numId w:val="1"/>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上海外国语大学三亚附属中学概况</w:t>
      </w:r>
    </w:p>
    <w:p>
      <w:pPr>
        <w:pStyle w:val="7"/>
        <w:numPr>
          <w:ilvl w:val="0"/>
          <w:numId w:val="2"/>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主要职能</w:t>
      </w:r>
    </w:p>
    <w:p>
      <w:pPr>
        <w:pStyle w:val="7"/>
        <w:numPr>
          <w:ilvl w:val="0"/>
          <w:numId w:val="2"/>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lang w:eastAsia="zh-CN"/>
          <w14:textFill>
            <w14:solidFill>
              <w14:schemeClr w14:val="tx1"/>
            </w14:solidFill>
          </w14:textFill>
        </w:rPr>
        <w:t>机构设置</w:t>
      </w:r>
    </w:p>
    <w:p>
      <w:pPr>
        <w:pStyle w:val="7"/>
        <w:numPr>
          <w:ilvl w:val="255"/>
          <w:numId w:val="0"/>
        </w:num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第二部分上海外国语大学三亚附属中学2022年单位预算表</w:t>
      </w:r>
    </w:p>
    <w:p>
      <w:pPr>
        <w:pStyle w:val="7"/>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财政拨款收支总表</w:t>
      </w:r>
    </w:p>
    <w:p>
      <w:pPr>
        <w:pStyle w:val="7"/>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一般公共预算支出表</w:t>
      </w:r>
    </w:p>
    <w:p>
      <w:pPr>
        <w:pStyle w:val="7"/>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一般公共预算基本支出表</w:t>
      </w:r>
    </w:p>
    <w:p>
      <w:pPr>
        <w:pStyle w:val="7"/>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一般公共预算“三公”经费支出表</w:t>
      </w:r>
    </w:p>
    <w:p>
      <w:pPr>
        <w:pStyle w:val="7"/>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政府性基金预算支出表</w:t>
      </w:r>
    </w:p>
    <w:p>
      <w:pPr>
        <w:pStyle w:val="7"/>
        <w:numPr>
          <w:ilvl w:val="0"/>
          <w:numId w:val="3"/>
        </w:numPr>
        <w:ind w:firstLineChars="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政府性基金预算“三公”经费支出表</w:t>
      </w:r>
    </w:p>
    <w:p>
      <w:pPr>
        <w:pStyle w:val="7"/>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单位收支总表</w:t>
      </w:r>
    </w:p>
    <w:p>
      <w:pPr>
        <w:pStyle w:val="7"/>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单位收入总表</w:t>
      </w:r>
    </w:p>
    <w:p>
      <w:pPr>
        <w:pStyle w:val="7"/>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单位支出总表</w:t>
      </w:r>
    </w:p>
    <w:p>
      <w:pPr>
        <w:pStyle w:val="7"/>
        <w:numPr>
          <w:ilvl w:val="0"/>
          <w:numId w:val="3"/>
        </w:numPr>
        <w:ind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项目支出绩效信息表</w:t>
      </w:r>
    </w:p>
    <w:p>
      <w:pPr>
        <w:pStyle w:val="7"/>
        <w:numPr>
          <w:ilvl w:val="0"/>
          <w:numId w:val="1"/>
        </w:numPr>
        <w:ind w:firstLineChars="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上海外国语大学三亚附属中学2022年单位预算情况说明</w:t>
      </w:r>
    </w:p>
    <w:p>
      <w:pPr>
        <w:pStyle w:val="7"/>
        <w:numPr>
          <w:ilvl w:val="0"/>
          <w:numId w:val="1"/>
        </w:numPr>
        <w:ind w:firstLineChars="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 xml:space="preserve">   名词解释</w:t>
      </w:r>
    </w:p>
    <w:p>
      <w:pPr>
        <w:pStyle w:val="7"/>
        <w:ind w:left="1320" w:firstLine="0" w:firstLineChars="0"/>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jc w:val="left"/>
        <w:rPr>
          <w:rFonts w:ascii="黑体" w:hAnsi="黑体" w:eastAsia="黑体"/>
          <w:color w:val="000000" w:themeColor="text1"/>
          <w:sz w:val="32"/>
          <w:szCs w:val="32"/>
          <w:highlight w:val="none"/>
          <w14:textFill>
            <w14:solidFill>
              <w14:schemeClr w14:val="tx1"/>
            </w14:solidFill>
          </w14:textFill>
        </w:rPr>
      </w:pPr>
    </w:p>
    <w:p>
      <w:pPr>
        <w:pStyle w:val="7"/>
        <w:numPr>
          <w:ilvl w:val="0"/>
          <w:numId w:val="4"/>
        </w:numPr>
        <w:ind w:firstLineChars="0"/>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上海外国语大学三亚附属中学概况</w:t>
      </w:r>
    </w:p>
    <w:p>
      <w:pPr>
        <w:jc w:val="left"/>
        <w:rPr>
          <w:rFonts w:ascii="仿宋_GB2312" w:hAnsi="仿宋_GB2312" w:eastAsia="仿宋_GB2312" w:cs="仿宋_GB2312"/>
          <w:color w:val="000000" w:themeColor="text1"/>
          <w:sz w:val="32"/>
          <w:szCs w:val="32"/>
          <w:highlight w:val="none"/>
          <w14:textFill>
            <w14:solidFill>
              <w14:schemeClr w14:val="tx1"/>
            </w14:solidFill>
          </w14:textFill>
        </w:rPr>
      </w:pPr>
    </w:p>
    <w:p>
      <w:pPr>
        <w:pStyle w:val="7"/>
        <w:numPr>
          <w:ilvl w:val="0"/>
          <w:numId w:val="5"/>
        </w:numPr>
        <w:ind w:firstLineChars="0"/>
        <w:jc w:val="left"/>
        <w:rPr>
          <w:rFonts w:ascii="黑体" w:hAnsi="黑体" w:eastAsia="黑体" w:cs="仿宋_GB2312"/>
          <w:color w:val="000000" w:themeColor="text1"/>
          <w:sz w:val="32"/>
          <w:szCs w:val="32"/>
          <w:highlight w:val="none"/>
          <w14:textFill>
            <w14:solidFill>
              <w14:schemeClr w14:val="tx1"/>
            </w14:solidFill>
          </w14:textFill>
        </w:rPr>
      </w:pPr>
      <w:r>
        <w:rPr>
          <w:rFonts w:hint="eastAsia" w:ascii="黑体" w:hAnsi="黑体" w:eastAsia="黑体" w:cs="仿宋_GB2312"/>
          <w:color w:val="000000" w:themeColor="text1"/>
          <w:sz w:val="32"/>
          <w:szCs w:val="32"/>
          <w:highlight w:val="none"/>
          <w14:textFill>
            <w14:solidFill>
              <w14:schemeClr w14:val="tx1"/>
            </w14:solidFill>
          </w14:textFill>
        </w:rPr>
        <w:t>主要职能</w:t>
      </w:r>
    </w:p>
    <w:p>
      <w:pPr>
        <w:pStyle w:val="7"/>
        <w:numPr>
          <w:ilvl w:val="255"/>
          <w:numId w:val="0"/>
        </w:numPr>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（一）培养适应时代发展要求，外语见长，文理并举，全面发展，具有创新能力的高素质，复合型，国际化海南未来建设人才。</w:t>
      </w:r>
    </w:p>
    <w:p>
      <w:pPr>
        <w:pStyle w:val="7"/>
        <w:numPr>
          <w:ilvl w:val="255"/>
          <w:numId w:val="0"/>
        </w:numPr>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（二）建设一所适应教育现代化发展要求，特色鲜明，体系创新，人民满意的一流外国语学校。</w:t>
      </w:r>
    </w:p>
    <w:p>
      <w:pPr>
        <w:pStyle w:val="7"/>
        <w:numPr>
          <w:ilvl w:val="255"/>
          <w:numId w:val="0"/>
        </w:numPr>
        <w:jc w:val="lef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（三）承担初中和高中两个学段六年制（含国际部）及中外合作办学的教育教学工作。</w:t>
      </w:r>
    </w:p>
    <w:p>
      <w:pPr>
        <w:pStyle w:val="7"/>
        <w:numPr>
          <w:ilvl w:val="255"/>
          <w:numId w:val="0"/>
        </w:numPr>
        <w:jc w:val="left"/>
        <w:rPr>
          <w:rFonts w:ascii="仿宋" w:hAnsi="仿宋" w:eastAsia="仿宋" w:cs="仿宋"/>
          <w:color w:val="000000" w:themeColor="text1"/>
          <w:sz w:val="32"/>
          <w:szCs w:val="32"/>
          <w:highlight w:val="none"/>
          <w14:textFill>
            <w14:solidFill>
              <w14:schemeClr w14:val="tx1"/>
            </w14:solidFill>
          </w14:textFill>
        </w:rPr>
      </w:pPr>
    </w:p>
    <w:p>
      <w:pPr>
        <w:pStyle w:val="7"/>
        <w:numPr>
          <w:ilvl w:val="0"/>
          <w:numId w:val="5"/>
        </w:numPr>
        <w:ind w:left="720" w:hanging="720" w:firstLineChars="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机构设置</w:t>
      </w:r>
    </w:p>
    <w:p>
      <w:pPr>
        <w:pStyle w:val="11"/>
        <w:widowControl/>
        <w:spacing w:line="560" w:lineRule="exact"/>
        <w:ind w:firstLine="640"/>
        <w:jc w:val="left"/>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本单位设党</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支部、</w:t>
      </w:r>
      <w:r>
        <w:rPr>
          <w:rFonts w:hint="eastAsia" w:ascii="仿宋_GB2312" w:hAnsi="ˎ̥" w:eastAsia="仿宋_GB2312" w:cs="Times New Roman"/>
          <w:color w:val="000000" w:themeColor="text1"/>
          <w:sz w:val="32"/>
          <w:szCs w:val="32"/>
          <w:highlight w:val="none"/>
          <w14:textFill>
            <w14:solidFill>
              <w14:schemeClr w14:val="tx1"/>
            </w14:solidFill>
          </w14:textFill>
        </w:rPr>
        <w:t>校长室、教学部、</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学生部、</w:t>
      </w:r>
      <w:r>
        <w:rPr>
          <w:rFonts w:hint="eastAsia" w:ascii="仿宋_GB2312" w:hAnsi="ˎ̥" w:eastAsia="仿宋_GB2312" w:cs="Times New Roman"/>
          <w:color w:val="000000" w:themeColor="text1"/>
          <w:sz w:val="32"/>
          <w:szCs w:val="32"/>
          <w:highlight w:val="none"/>
          <w14:textFill>
            <w14:solidFill>
              <w14:schemeClr w14:val="tx1"/>
            </w14:solidFill>
          </w14:textFill>
        </w:rPr>
        <w:t>运营部（行政中心，总务中心）、</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宣传中心、</w:t>
      </w:r>
      <w:r>
        <w:rPr>
          <w:rFonts w:hint="eastAsia" w:ascii="仿宋_GB2312" w:hAnsi="ˎ̥" w:eastAsia="仿宋_GB2312" w:cs="Times New Roman"/>
          <w:color w:val="000000" w:themeColor="text1"/>
          <w:sz w:val="32"/>
          <w:szCs w:val="32"/>
          <w:highlight w:val="none"/>
          <w14:textFill>
            <w14:solidFill>
              <w14:schemeClr w14:val="tx1"/>
            </w14:solidFill>
          </w14:textFill>
        </w:rPr>
        <w:t>工会</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（妇委会）</w:t>
      </w:r>
      <w:r>
        <w:rPr>
          <w:rFonts w:hint="eastAsia" w:ascii="仿宋_GB2312" w:hAnsi="ˎ̥" w:eastAsia="仿宋_GB2312" w:cs="Times New Roman"/>
          <w:color w:val="000000" w:themeColor="text1"/>
          <w:sz w:val="32"/>
          <w:szCs w:val="32"/>
          <w:highlight w:val="none"/>
          <w14:textFill>
            <w14:solidFill>
              <w14:schemeClr w14:val="tx1"/>
            </w14:solidFill>
          </w14:textFill>
        </w:rPr>
        <w:t>等各职能部门。</w:t>
      </w:r>
    </w:p>
    <w:p>
      <w:pPr>
        <w:pStyle w:val="11"/>
        <w:widowControl/>
        <w:spacing w:line="560" w:lineRule="exact"/>
        <w:ind w:firstLine="640"/>
        <w:jc w:val="left"/>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纳入</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教育局</w:t>
      </w:r>
      <w:r>
        <w:rPr>
          <w:rFonts w:hint="eastAsia" w:ascii="仿宋_GB2312" w:hAnsi="ˎ̥" w:eastAsia="仿宋_GB2312" w:cs="Times New Roman"/>
          <w:color w:val="000000" w:themeColor="text1"/>
          <w:sz w:val="32"/>
          <w:szCs w:val="32"/>
          <w:highlight w:val="none"/>
          <w14:textFill>
            <w14:solidFill>
              <w14:schemeClr w14:val="tx1"/>
            </w14:solidFill>
          </w14:textFill>
        </w:rPr>
        <w:t>2022年部门预算编制范围的预算单位上海外国语大学三亚附属中学。</w:t>
      </w:r>
    </w:p>
    <w:p>
      <w:pPr>
        <w:pStyle w:val="7"/>
        <w:numPr>
          <w:ilvl w:val="255"/>
          <w:numId w:val="0"/>
        </w:numPr>
        <w:ind w:left="0" w:firstLine="420" w:firstLineChars="200"/>
        <w:jc w:val="left"/>
        <w:rPr>
          <w:rFonts w:ascii="黑体" w:hAnsi="黑体" w:eastAsia="黑体"/>
          <w:color w:val="000000" w:themeColor="text1"/>
          <w:sz w:val="32"/>
          <w:szCs w:val="32"/>
          <w:highlight w:val="none"/>
          <w14:textFill>
            <w14:solidFill>
              <w14:schemeClr w14:val="tx1"/>
            </w14:solidFill>
          </w14:textFill>
        </w:rPr>
      </w:pPr>
    </w:p>
    <w:p>
      <w:pPr>
        <w:pStyle w:val="7"/>
        <w:numPr>
          <w:ilvl w:val="255"/>
          <w:numId w:val="0"/>
        </w:numPr>
        <w:jc w:val="left"/>
        <w:rPr>
          <w:rFonts w:ascii="仿宋_GB2312" w:hAnsi="黑体" w:eastAsia="仿宋_GB2312" w:cs="仿宋_GB2312"/>
          <w:color w:val="000000" w:themeColor="text1"/>
          <w:sz w:val="32"/>
          <w:szCs w:val="32"/>
          <w:highlight w:val="none"/>
          <w14:textFill>
            <w14:solidFill>
              <w14:schemeClr w14:val="tx1"/>
            </w14:solidFill>
          </w14:textFill>
        </w:rPr>
      </w:pPr>
    </w:p>
    <w:p>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第二部分 上海外国语大学三亚附属中学2022年单位预算表</w:t>
      </w:r>
    </w:p>
    <w:p>
      <w:pPr>
        <w:ind w:left="800"/>
        <w:jc w:val="left"/>
        <w:rPr>
          <w:rFonts w:ascii="黑体" w:hAnsi="黑体" w:eastAsia="黑体"/>
          <w:color w:val="000000" w:themeColor="text1"/>
          <w:sz w:val="32"/>
          <w:szCs w:val="32"/>
          <w:highlight w:val="none"/>
          <w14:textFill>
            <w14:solidFill>
              <w14:schemeClr w14:val="tx1"/>
            </w14:solidFill>
          </w14:textFill>
        </w:rPr>
      </w:pPr>
    </w:p>
    <w:p>
      <w:pPr>
        <w:ind w:left="800"/>
        <w:jc w:val="center"/>
        <w:rPr>
          <w:rFonts w:ascii="仿宋" w:hAnsi="仿宋" w:eastAsia="仿宋" w:cs="仿宋"/>
          <w:bCs/>
          <w:color w:val="000000" w:themeColor="text1"/>
          <w:sz w:val="32"/>
          <w:szCs w:val="32"/>
          <w:highlight w:val="none"/>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t>（此部分内容即为单位预算公开表）</w:t>
      </w:r>
    </w:p>
    <w:p>
      <w:pPr>
        <w:rPr>
          <w:rFonts w:ascii="黑体" w:hAnsi="黑体" w:eastAsia="黑体"/>
          <w:color w:val="000000" w:themeColor="text1"/>
          <w:sz w:val="32"/>
          <w:szCs w:val="32"/>
          <w:highlight w:val="none"/>
          <w14:textFill>
            <w14:solidFill>
              <w14:schemeClr w14:val="tx1"/>
            </w14:solidFill>
          </w14:textFill>
        </w:rPr>
      </w:pPr>
    </w:p>
    <w:p>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第三部分上海外国语大学三亚附属中学2022年单位预算情况说明</w:t>
      </w:r>
    </w:p>
    <w:p>
      <w:pPr>
        <w:ind w:firstLine="640" w:firstLineChars="20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一、关于上海外国语大学三亚附属中学2022年财政拨款收支预算情况的总体说明</w:t>
      </w:r>
    </w:p>
    <w:p>
      <w:pPr>
        <w:ind w:firstLine="640" w:firstLineChars="200"/>
        <w:jc w:val="left"/>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上海外国语大学三亚附属中学2022年财政拨款收支总预算</w:t>
      </w:r>
      <w:r>
        <w:rPr>
          <w:rFonts w:hint="eastAsia" w:ascii="仿宋_GB2312" w:hAnsi="黑体" w:eastAsia="仿宋_GB2312" w:cs="仿宋_GB2312"/>
          <w:color w:val="000000" w:themeColor="text1"/>
          <w:sz w:val="32"/>
          <w:szCs w:val="32"/>
          <w:highlight w:val="none"/>
          <w14:textFill>
            <w14:solidFill>
              <w14:schemeClr w14:val="tx1"/>
            </w14:solidFill>
          </w14:textFill>
        </w:rPr>
        <w:t>3006.34</w:t>
      </w:r>
      <w:r>
        <w:rPr>
          <w:rFonts w:hint="eastAsia" w:ascii="仿宋_GB2312" w:hAnsi="黑体" w:eastAsia="仿宋_GB2312"/>
          <w:color w:val="000000" w:themeColor="text1"/>
          <w:sz w:val="32"/>
          <w:szCs w:val="32"/>
          <w:highlight w:val="none"/>
          <w14:textFill>
            <w14:solidFill>
              <w14:schemeClr w14:val="tx1"/>
            </w14:solidFill>
          </w14:textFill>
        </w:rPr>
        <w:t>万元。其中，收入总计</w:t>
      </w:r>
      <w:r>
        <w:rPr>
          <w:rFonts w:hint="eastAsia" w:ascii="仿宋_GB2312" w:hAnsi="黑体" w:eastAsia="仿宋_GB2312" w:cs="仿宋_GB2312"/>
          <w:color w:val="000000" w:themeColor="text1"/>
          <w:sz w:val="32"/>
          <w:szCs w:val="32"/>
          <w:highlight w:val="none"/>
          <w14:textFill>
            <w14:solidFill>
              <w14:schemeClr w14:val="tx1"/>
            </w14:solidFill>
          </w14:textFill>
        </w:rPr>
        <w:t>3006.34</w:t>
      </w:r>
      <w:r>
        <w:rPr>
          <w:rFonts w:hint="eastAsia" w:ascii="仿宋_GB2312" w:hAnsi="黑体" w:eastAsia="仿宋_GB2312"/>
          <w:color w:val="000000" w:themeColor="text1"/>
          <w:sz w:val="32"/>
          <w:szCs w:val="32"/>
          <w:highlight w:val="none"/>
          <w14:textFill>
            <w14:solidFill>
              <w14:schemeClr w14:val="tx1"/>
            </w14:solidFill>
          </w14:textFill>
        </w:rPr>
        <w:t>万元，包括一般公共预算本年收入</w:t>
      </w:r>
      <w:r>
        <w:rPr>
          <w:rFonts w:hint="eastAsia" w:ascii="仿宋_GB2312" w:hAnsi="黑体" w:eastAsia="仿宋_GB2312" w:cs="仿宋_GB2312"/>
          <w:color w:val="000000" w:themeColor="text1"/>
          <w:sz w:val="32"/>
          <w:szCs w:val="32"/>
          <w:highlight w:val="none"/>
          <w14:textFill>
            <w14:solidFill>
              <w14:schemeClr w14:val="tx1"/>
            </w14:solidFill>
          </w14:textFill>
        </w:rPr>
        <w:t>3006.34</w:t>
      </w:r>
      <w:r>
        <w:rPr>
          <w:rFonts w:hint="eastAsia" w:ascii="仿宋_GB2312" w:hAnsi="黑体" w:eastAsia="仿宋_GB2312"/>
          <w:color w:val="000000" w:themeColor="text1"/>
          <w:sz w:val="32"/>
          <w:szCs w:val="32"/>
          <w:highlight w:val="none"/>
          <w14:textFill>
            <w14:solidFill>
              <w14:schemeClr w14:val="tx1"/>
            </w14:solidFill>
          </w14:textFill>
        </w:rPr>
        <w:t>万元、上年结转</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万元，政府性基金预算本年收入</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万元、上年结转</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万元；支出总计</w:t>
      </w:r>
      <w:r>
        <w:rPr>
          <w:rFonts w:hint="eastAsia" w:ascii="仿宋_GB2312" w:hAnsi="黑体" w:eastAsia="仿宋_GB2312" w:cs="仿宋_GB2312"/>
          <w:color w:val="000000" w:themeColor="text1"/>
          <w:sz w:val="32"/>
          <w:szCs w:val="32"/>
          <w:highlight w:val="none"/>
          <w14:textFill>
            <w14:solidFill>
              <w14:schemeClr w14:val="tx1"/>
            </w14:solidFill>
          </w14:textFill>
        </w:rPr>
        <w:t>3006.34</w:t>
      </w:r>
      <w:r>
        <w:rPr>
          <w:rFonts w:hint="eastAsia" w:ascii="仿宋_GB2312" w:hAnsi="黑体" w:eastAsia="仿宋_GB2312"/>
          <w:color w:val="000000" w:themeColor="text1"/>
          <w:sz w:val="32"/>
          <w:szCs w:val="32"/>
          <w:highlight w:val="none"/>
          <w14:textFill>
            <w14:solidFill>
              <w14:schemeClr w14:val="tx1"/>
            </w14:solidFill>
          </w14:textFill>
        </w:rPr>
        <w:t>万元，包括一般公共服务支出0万元、外交支出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万元、国防支出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万元、教育支出2728.93万元、社会保障和就业支出93.48万元、卫生健康支出110.69万元、住房保障支出73.24万元。结转下年</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p>
    <w:p>
      <w:pPr>
        <w:ind w:firstLine="640"/>
        <w:jc w:val="left"/>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二、关于上海外国语大学三亚附属中学2022年一般公共预算当年拨款情况说明</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（一）一般公共预算当年规模变化情况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上海外国语大学三亚附属中学2022年一般公共预算当年拨款</w:t>
      </w:r>
      <w:r>
        <w:rPr>
          <w:rFonts w:hint="eastAsia" w:ascii="仿宋_GB2312" w:hAnsi="黑体" w:eastAsia="仿宋_GB2312" w:cs="仿宋_GB2312"/>
          <w:color w:val="000000" w:themeColor="text1"/>
          <w:sz w:val="32"/>
          <w:szCs w:val="32"/>
          <w:highlight w:val="none"/>
          <w14:textFill>
            <w14:solidFill>
              <w14:schemeClr w14:val="tx1"/>
            </w14:solidFill>
          </w14:textFill>
        </w:rPr>
        <w:t>3006.34</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增加599.36</w:t>
      </w:r>
      <w:r>
        <w:rPr>
          <w:rFonts w:hint="eastAsia" w:ascii="仿宋_GB2312" w:hAnsi="黑体" w:eastAsia="仿宋_GB2312"/>
          <w:color w:val="000000" w:themeColor="text1"/>
          <w:sz w:val="32"/>
          <w:szCs w:val="32"/>
          <w:highlight w:val="none"/>
          <w14:textFill>
            <w14:solidFill>
              <w14:schemeClr w14:val="tx1"/>
            </w14:solidFill>
          </w14:textFill>
        </w:rPr>
        <w:t>万元，主要是2022年我校教职工人员增加，基本支出增加。</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（二）一般公共预算当年拨款结构情况</w:t>
      </w:r>
    </w:p>
    <w:p>
      <w:pPr>
        <w:ind w:firstLine="800" w:firstLineChars="25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教育（类）</w:t>
      </w:r>
      <w:r>
        <w:rPr>
          <w:rFonts w:hint="eastAsia" w:ascii="仿宋_GB2312" w:hAnsi="黑体" w:eastAsia="仿宋_GB2312" w:cs="仿宋_GB2312"/>
          <w:color w:val="000000" w:themeColor="text1"/>
          <w:sz w:val="32"/>
          <w:szCs w:val="32"/>
          <w:highlight w:val="none"/>
          <w14:textFill>
            <w14:solidFill>
              <w14:schemeClr w14:val="tx1"/>
            </w14:solidFill>
          </w14:textFill>
        </w:rPr>
        <w:t>支出2728.93</w:t>
      </w:r>
      <w:r>
        <w:rPr>
          <w:rFonts w:hint="eastAsia" w:ascii="仿宋_GB2312" w:hAnsi="黑体" w:eastAsia="仿宋_GB2312"/>
          <w:color w:val="000000" w:themeColor="text1"/>
          <w:sz w:val="32"/>
          <w:szCs w:val="32"/>
          <w:highlight w:val="none"/>
          <w14:textFill>
            <w14:solidFill>
              <w14:schemeClr w14:val="tx1"/>
            </w14:solidFill>
          </w14:textFill>
        </w:rPr>
        <w:t>万元，占90.77%；社会保障和就业支出93.48万元，占3.10%；卫生健康支出110.69万元，3.68%；住房保障支出73.24万元，占2.44%。</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（三）一般公共预算当年拨款具体使用情况</w:t>
      </w:r>
    </w:p>
    <w:p>
      <w:pPr>
        <w:ind w:firstLine="640" w:firstLineChars="200"/>
        <w:rPr>
          <w:rFonts w:hint="eastAsia"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1.教育支出（类）普通教育（款）初中教育（项）2022年预算数为2728.93万元，比上年预算数增加463.87万元主要是新增在编人员，用于在编教职工人员的基本工资，津贴补贴，绩效工资等人员经费支出和项目支出。</w:t>
      </w:r>
    </w:p>
    <w:p>
      <w:pPr>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社会保障和就业(类)行政事业单位养老支出（款）机关事业单位基本养老保险缴费支出（项）2022年预算数为93.48万元，比上年预算数增加45.6万元，主要是新增在编人员，用于在编教职工基本养老保险缴费支出。</w:t>
      </w:r>
    </w:p>
    <w:p>
      <w:pPr>
        <w:numPr>
          <w:ilvl w:val="0"/>
          <w:numId w:val="0"/>
        </w:numPr>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3.卫生健康支出（类）行政事业单位医疗（款）事业单位医疗（项）2022年预算数为49.66万元，比上年预算数增加24.23万元，主要是新增在编人员，用于在编教职工医疗保险缴费支出。</w:t>
      </w:r>
    </w:p>
    <w:p>
      <w:pPr>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4.卫生健康支出（类）行政事业单位医疗（款）公务员医疗补助（项）2022年预算数为61.03万元，比上年预算数增加29.84万元，主要是新增在编人员，用于在编教职工公务员医疗补助缴费支出。</w:t>
      </w:r>
    </w:p>
    <w:p>
      <w:pPr>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 xml:space="preserve">   </w:t>
      </w:r>
      <w:r>
        <w:rPr>
          <w:rFonts w:hint="eastAsia" w:ascii="仿宋_GB2312" w:hAnsi="黑体" w:eastAsia="仿宋_GB2312" w:cs="仿宋_GB2312"/>
          <w:color w:val="000000" w:themeColor="text1"/>
          <w:sz w:val="32"/>
          <w:szCs w:val="32"/>
          <w:highlight w:val="none"/>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住房保障支出（类）2022年预算为73.24万元，比上年预算数增加35.81万元，主要是新增在编人员，</w:t>
      </w:r>
      <w:r>
        <w:rPr>
          <w:rFonts w:hint="eastAsia" w:ascii="仿宋_GB2312" w:hAnsi="黑体" w:eastAsia="仿宋_GB2312" w:cs="仿宋_GB2312"/>
          <w:color w:val="000000" w:themeColor="text1"/>
          <w:sz w:val="32"/>
          <w:szCs w:val="32"/>
          <w:highlight w:val="none"/>
          <w14:textFill>
            <w14:solidFill>
              <w14:schemeClr w14:val="tx1"/>
            </w14:solidFill>
          </w14:textFill>
        </w:rPr>
        <w:t>用于在编教职住房公积金缴费支出。</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p>
    <w:p>
      <w:pPr>
        <w:ind w:firstLine="64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三、关于上海外国语大学三亚附属中学2022年一般公共预算基本支出情况说明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上海外国语大学三亚附属中学2022年一般公共预算基本支出为</w:t>
      </w:r>
      <w:r>
        <w:rPr>
          <w:rFonts w:hint="eastAsia" w:ascii="仿宋_GB2312" w:hAnsi="黑体" w:eastAsia="仿宋_GB2312" w:cs="仿宋_GB2312"/>
          <w:color w:val="000000" w:themeColor="text1"/>
          <w:sz w:val="32"/>
          <w:szCs w:val="32"/>
          <w:highlight w:val="none"/>
          <w14:textFill>
            <w14:solidFill>
              <w14:schemeClr w14:val="tx1"/>
            </w14:solidFill>
          </w14:textFill>
        </w:rPr>
        <w:t>1206.34</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人员经费</w:t>
      </w:r>
      <w:r>
        <w:rPr>
          <w:rFonts w:hint="eastAsia" w:ascii="仿宋_GB2312" w:hAnsi="黑体" w:eastAsia="仿宋_GB2312" w:cs="仿宋_GB2312"/>
          <w:color w:val="000000" w:themeColor="text1"/>
          <w:sz w:val="32"/>
          <w:szCs w:val="32"/>
          <w:highlight w:val="none"/>
          <w14:textFill>
            <w14:solidFill>
              <w14:schemeClr w14:val="tx1"/>
            </w14:solidFill>
          </w14:textFill>
        </w:rPr>
        <w:t>1123.93</w:t>
      </w:r>
      <w:r>
        <w:rPr>
          <w:rFonts w:hint="eastAsia" w:ascii="仿宋_GB2312" w:hAnsi="黑体" w:eastAsia="仿宋_GB2312"/>
          <w:color w:val="000000" w:themeColor="text1"/>
          <w:sz w:val="32"/>
          <w:szCs w:val="32"/>
          <w:highlight w:val="none"/>
          <w14:textFill>
            <w14:solidFill>
              <w14:schemeClr w14:val="tx1"/>
            </w14:solidFill>
          </w14:textFill>
        </w:rPr>
        <w:t>万元，主要包括：基本工资、津贴补贴</w:t>
      </w:r>
      <w:r>
        <w:rPr>
          <w:rFonts w:hint="eastAsia"/>
          <w:color w:val="000000" w:themeColor="text1"/>
          <w:sz w:val="32"/>
          <w:szCs w:val="32"/>
          <w:highlight w:val="none"/>
          <w14:textFill>
            <w14:solidFill>
              <w14:schemeClr w14:val="tx1"/>
            </w14:solidFill>
          </w14:textFill>
        </w:rPr>
        <w:t>、绩效工资、机关</w:t>
      </w:r>
      <w:r>
        <w:rPr>
          <w:rFonts w:hint="eastAsia" w:ascii="仿宋_GB2312" w:hAnsi="黑体" w:eastAsia="仿宋_GB2312"/>
          <w:color w:val="000000" w:themeColor="text1"/>
          <w:sz w:val="32"/>
          <w:szCs w:val="32"/>
          <w:highlight w:val="none"/>
          <w14:textFill>
            <w14:solidFill>
              <w14:schemeClr w14:val="tx1"/>
            </w14:solidFill>
          </w14:textFill>
        </w:rPr>
        <w:t>事业单位基本养老保险缴费、职工基本医疗保险缴费、公务员医疗补助缴费、其他社会保障缴费、住房公积金、医疗费、邮电费</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320" w:firstLineChars="1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公用经费</w:t>
      </w:r>
      <w:r>
        <w:rPr>
          <w:rFonts w:hint="eastAsia" w:ascii="仿宋_GB2312" w:hAnsi="黑体" w:eastAsia="仿宋_GB2312" w:cs="仿宋_GB2312"/>
          <w:color w:val="000000" w:themeColor="text1"/>
          <w:sz w:val="32"/>
          <w:szCs w:val="32"/>
          <w:highlight w:val="none"/>
          <w14:textFill>
            <w14:solidFill>
              <w14:schemeClr w14:val="tx1"/>
            </w14:solidFill>
          </w14:textFill>
        </w:rPr>
        <w:t>82.41</w:t>
      </w:r>
      <w:r>
        <w:rPr>
          <w:rFonts w:hint="eastAsia" w:ascii="仿宋_GB2312" w:hAnsi="黑体" w:eastAsia="仿宋_GB2312"/>
          <w:color w:val="000000" w:themeColor="text1"/>
          <w:sz w:val="32"/>
          <w:szCs w:val="32"/>
          <w:highlight w:val="none"/>
          <w14:textFill>
            <w14:solidFill>
              <w14:schemeClr w14:val="tx1"/>
            </w14:solidFill>
          </w14:textFill>
        </w:rPr>
        <w:t>万元，主要包括：其他社会保障缴费、办公费、工会经费、福利费、其他商品和服务支出、会议费</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四、上海外国语大学三亚附属中学2022年“三公”经费预算情况说明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（一）上海外国语大学三亚附属中学2022年一般公共预算“三公”经费预算数为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30"/>
        <w:rPr>
          <w:rFonts w:ascii="仿宋_GB2312" w:hAnsi="黑体" w:eastAsia="仿宋_GB2312" w:cs="Times New Roman"/>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因公出国（境）费用0万元，与上年预算持平；公务用车运维费0万元，与上年预算持平，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highlight w:val="none"/>
          <w14:textFill>
            <w14:solidFill>
              <w14:schemeClr w14:val="tx1"/>
            </w14:solidFill>
          </w14:textFill>
        </w:rPr>
        <w:t>0辆，计划购置0辆；</w:t>
      </w: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numPr>
          <w:ilvl w:val="0"/>
          <w:numId w:val="6"/>
        </w:num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上海外国语大学三亚附属中学2022年政府性基金预算“三公”经费预算数为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highlight w:val="none"/>
          <w14:textFill>
            <w14:solidFill>
              <w14:schemeClr w14:val="tx1"/>
            </w14:solidFill>
          </w14:textFill>
        </w:rPr>
        <w:t>0辆，计划购置0辆</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ind w:firstLine="640" w:firstLineChars="200"/>
        <w:jc w:val="left"/>
        <w:rPr>
          <w:rFonts w:ascii="楷体" w:hAnsi="楷体" w:eastAsia="楷体"/>
          <w:color w:val="000000" w:themeColor="text1"/>
          <w:sz w:val="32"/>
          <w:szCs w:val="32"/>
          <w:highlight w:val="none"/>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五、关于上海外国语大学三亚附属中学2022</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政府性基金预算当年拨款情况说明</w:t>
      </w:r>
    </w:p>
    <w:p>
      <w:pPr>
        <w:ind w:firstLine="640"/>
        <w:jc w:val="left"/>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上海外国语大学三亚附属中学2022年政府性基金预算当年拨款0万元，与上年预算数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（一）政府性基金预算当年规模变化情况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上海外国语大学三亚附属中学2022年单位政府性基金预算当年拨款</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万元，与上年预算数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（二）政府性基金预算当年拨款结构情况</w:t>
      </w:r>
    </w:p>
    <w:p>
      <w:pPr>
        <w:ind w:firstLine="800" w:firstLineChars="25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科学技术支出（类）支出0</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%；文化体育与传媒支出（类）</w:t>
      </w:r>
      <w:r>
        <w:rPr>
          <w:rFonts w:hint="eastAsia" w:ascii="仿宋_GB2312" w:hAnsi="黑体" w:eastAsia="仿宋_GB2312" w:cs="仿宋_GB2312"/>
          <w:color w:val="000000" w:themeColor="text1"/>
          <w:sz w:val="32"/>
          <w:szCs w:val="32"/>
          <w:highlight w:val="none"/>
          <w14:textFill>
            <w14:solidFill>
              <w14:schemeClr w14:val="tx1"/>
            </w14:solidFill>
          </w14:textFill>
        </w:rPr>
        <w:t>支出0</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%；社会保障和就业支出（类）</w:t>
      </w:r>
      <w:r>
        <w:rPr>
          <w:rFonts w:hint="eastAsia" w:ascii="仿宋_GB2312" w:hAnsi="黑体" w:eastAsia="仿宋_GB2312" w:cs="仿宋_GB2312"/>
          <w:color w:val="000000" w:themeColor="text1"/>
          <w:sz w:val="32"/>
          <w:szCs w:val="32"/>
          <w:highlight w:val="none"/>
          <w14:textFill>
            <w14:solidFill>
              <w14:schemeClr w14:val="tx1"/>
            </w14:solidFill>
          </w14:textFill>
        </w:rPr>
        <w:t>支出0</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%；节能环保（类）</w:t>
      </w:r>
      <w:r>
        <w:rPr>
          <w:rFonts w:hint="eastAsia" w:ascii="仿宋_GB2312" w:hAnsi="黑体" w:eastAsia="仿宋_GB2312" w:cs="仿宋_GB2312"/>
          <w:color w:val="000000" w:themeColor="text1"/>
          <w:sz w:val="32"/>
          <w:szCs w:val="32"/>
          <w:highlight w:val="none"/>
          <w14:textFill>
            <w14:solidFill>
              <w14:schemeClr w14:val="tx1"/>
            </w14:solidFill>
          </w14:textFill>
        </w:rPr>
        <w:t>支出0</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jc w:val="left"/>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（三）政府性基金预算当年拨款具体使用情况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1. 科学技术支出（类）核电站乏燃料处理处置基金支出（款）乏燃料运输（项）2022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万元，与上年预算数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 xml:space="preserve"> 科学技术支出（类）核电站乏燃料处理处置基金支出（款）乏燃料离堆贮存（项）2022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万元，与上年预算数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六、关于上海外国语大学三亚附属中学2022年收支预算情况的总体说明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按照综合预算原则，</w:t>
      </w: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所有收入和支出均纳入部门预算管理。收入包括：一般公共预算收入</w:t>
      </w:r>
      <w:r>
        <w:rPr>
          <w:rFonts w:hint="eastAsia" w:ascii="仿宋_GB2312" w:hAnsi="黑体" w:eastAsia="仿宋_GB2312"/>
          <w:color w:val="000000" w:themeColor="text1"/>
          <w:sz w:val="32"/>
          <w:szCs w:val="32"/>
          <w:highlight w:val="none"/>
          <w14:textFill>
            <w14:solidFill>
              <w14:schemeClr w14:val="tx1"/>
            </w14:solidFill>
          </w14:textFill>
        </w:rPr>
        <w:t>3006.34万元</w:t>
      </w:r>
      <w:r>
        <w:rPr>
          <w:rFonts w:hint="eastAsia" w:ascii="仿宋_GB2312" w:hAnsi="黑体" w:eastAsia="仿宋_GB2312" w:cs="仿宋_GB2312"/>
          <w:color w:val="000000" w:themeColor="text1"/>
          <w:sz w:val="32"/>
          <w:szCs w:val="32"/>
          <w:highlight w:val="none"/>
          <w14:textFill>
            <w14:solidFill>
              <w14:schemeClr w14:val="tx1"/>
            </w14:solidFill>
          </w14:textFill>
        </w:rPr>
        <w:t>、政府性基金收入0万元、其他财政资金收入0万元、事业收入0万元</w:t>
      </w:r>
      <w:r>
        <w:rPr>
          <w:rFonts w:hint="eastAsia" w:ascii="仿宋_GB2312" w:hAnsi="黑体" w:eastAsia="仿宋_GB2312"/>
          <w:color w:val="000000" w:themeColor="text1"/>
          <w:sz w:val="32"/>
          <w:szCs w:val="32"/>
          <w:highlight w:val="none"/>
          <w14:textFill>
            <w14:solidFill>
              <w14:schemeClr w14:val="tx1"/>
            </w14:solidFill>
          </w14:textFill>
        </w:rPr>
        <w:t>；支出包括：一般公共服务支出0万元、外交支出</w:t>
      </w:r>
      <w:r>
        <w:rPr>
          <w:rFonts w:hint="eastAsia" w:ascii="仿宋_GB2312" w:hAnsi="黑体" w:eastAsia="仿宋_GB2312" w:cs="仿宋_GB2312"/>
          <w:color w:val="000000" w:themeColor="text1"/>
          <w:sz w:val="32"/>
          <w:szCs w:val="32"/>
          <w:highlight w:val="none"/>
          <w14:textFill>
            <w14:solidFill>
              <w14:schemeClr w14:val="tx1"/>
            </w14:solidFill>
          </w14:textFill>
        </w:rPr>
        <w:t>0万元</w:t>
      </w:r>
      <w:r>
        <w:rPr>
          <w:rFonts w:hint="eastAsia" w:ascii="仿宋_GB2312" w:hAnsi="黑体" w:eastAsia="仿宋_GB2312"/>
          <w:color w:val="000000" w:themeColor="text1"/>
          <w:sz w:val="32"/>
          <w:szCs w:val="32"/>
          <w:highlight w:val="none"/>
          <w14:textFill>
            <w14:solidFill>
              <w14:schemeClr w14:val="tx1"/>
            </w14:solidFill>
          </w14:textFill>
        </w:rPr>
        <w:t>、国防支出</w:t>
      </w:r>
      <w:r>
        <w:rPr>
          <w:rFonts w:hint="eastAsia" w:ascii="仿宋_GB2312" w:hAnsi="黑体" w:eastAsia="仿宋_GB2312" w:cs="仿宋_GB2312"/>
          <w:color w:val="000000" w:themeColor="text1"/>
          <w:sz w:val="32"/>
          <w:szCs w:val="32"/>
          <w:highlight w:val="none"/>
          <w14:textFill>
            <w14:solidFill>
              <w14:schemeClr w14:val="tx1"/>
            </w14:solidFill>
          </w14:textFill>
        </w:rPr>
        <w:t>0万元</w:t>
      </w:r>
      <w:r>
        <w:rPr>
          <w:rFonts w:hint="eastAsia" w:ascii="仿宋_GB2312" w:hAnsi="黑体" w:eastAsia="仿宋_GB2312"/>
          <w:color w:val="000000" w:themeColor="text1"/>
          <w:sz w:val="32"/>
          <w:szCs w:val="32"/>
          <w:highlight w:val="none"/>
          <w14:textFill>
            <w14:solidFill>
              <w14:schemeClr w14:val="tx1"/>
            </w14:solidFill>
          </w14:textFill>
        </w:rPr>
        <w:t>、公共安全支出</w:t>
      </w:r>
      <w:r>
        <w:rPr>
          <w:rFonts w:hint="eastAsia" w:ascii="仿宋_GB2312" w:hAnsi="黑体" w:eastAsia="仿宋_GB2312" w:cs="仿宋_GB2312"/>
          <w:color w:val="000000" w:themeColor="text1"/>
          <w:sz w:val="32"/>
          <w:szCs w:val="32"/>
          <w:highlight w:val="none"/>
          <w14:textFill>
            <w14:solidFill>
              <w14:schemeClr w14:val="tx1"/>
            </w14:solidFill>
          </w14:textFill>
        </w:rPr>
        <w:t>0万元</w:t>
      </w:r>
      <w:r>
        <w:rPr>
          <w:rFonts w:hint="eastAsia" w:ascii="仿宋_GB2312" w:hAnsi="黑体" w:eastAsia="仿宋_GB2312"/>
          <w:color w:val="000000" w:themeColor="text1"/>
          <w:sz w:val="32"/>
          <w:szCs w:val="32"/>
          <w:highlight w:val="none"/>
          <w14:textFill>
            <w14:solidFill>
              <w14:schemeClr w14:val="tx1"/>
            </w14:solidFill>
          </w14:textFill>
        </w:rPr>
        <w:t>、教育支出2728.93万元、社会保障和就业支出93.48万元、卫生健康支出110.69万元、住房保障支出73.24万元。上海外国语大学三亚附属中学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年收支总预算3006.34万元。</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七、关于上海外国语大学三亚附属中学2022</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收入预算情况说明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年收入预算3006.34万元，其中：上年结转0万元，占0%；经费拨款收入3006.34万元，占100%，比上年预算数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增加599.36</w:t>
      </w:r>
      <w:r>
        <w:rPr>
          <w:rFonts w:hint="eastAsia" w:ascii="仿宋_GB2312" w:hAnsi="黑体" w:eastAsia="仿宋_GB2312"/>
          <w:color w:val="000000" w:themeColor="text1"/>
          <w:sz w:val="32"/>
          <w:szCs w:val="32"/>
          <w:highlight w:val="none"/>
          <w14:textFill>
            <w14:solidFill>
              <w14:schemeClr w14:val="tx1"/>
            </w14:solidFill>
          </w14:textFill>
        </w:rPr>
        <w:t>万元。主要是2022年我校将新增一批教师，所需人员经费增加及公用经费增加。</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八、关于上海外国语大学三亚附属中学2022年支出预算情况说明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年支出预算3006.34万元，其中：基本支出1206.34万元，占40.13%；项目支出1800万元，占59.87%。比上年预算数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增加599.36</w:t>
      </w:r>
      <w:r>
        <w:rPr>
          <w:rFonts w:hint="eastAsia" w:ascii="仿宋_GB2312" w:hAnsi="黑体" w:eastAsia="仿宋_GB2312"/>
          <w:color w:val="000000" w:themeColor="text1"/>
          <w:sz w:val="32"/>
          <w:szCs w:val="32"/>
          <w:highlight w:val="none"/>
          <w14:textFill>
            <w14:solidFill>
              <w14:schemeClr w14:val="tx1"/>
            </w14:solidFill>
          </w14:textFill>
        </w:rPr>
        <w:t>万元，主要是2022年我校将新增一批教师，所需人员经费及公用经费增加，基本支出预算增加。</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九、其他重要事项的情况说明</w:t>
      </w:r>
    </w:p>
    <w:p>
      <w:pPr>
        <w:ind w:firstLine="640" w:firstLineChars="200"/>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（一）机关运行经费</w:t>
      </w:r>
    </w:p>
    <w:p>
      <w:pPr>
        <w:ind w:firstLine="640" w:firstLineChars="200"/>
        <w:rPr>
          <w:rFonts w:ascii="仿宋_GB2312" w:hAnsi="黑体" w:eastAsia="仿宋_GB2312"/>
          <w:color w:val="000000" w:themeColor="text1"/>
          <w:sz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的机关运行经费预算0</w:t>
      </w:r>
      <w:r>
        <w:rPr>
          <w:rFonts w:hint="eastAsia" w:ascii="仿宋_GB2312" w:hAnsi="黑体" w:eastAsia="仿宋_GB2312"/>
          <w:color w:val="000000" w:themeColor="text1"/>
          <w:sz w:val="32"/>
          <w:szCs w:val="32"/>
          <w:highlight w:val="none"/>
          <w14:textFill>
            <w14:solidFill>
              <w14:schemeClr w14:val="tx1"/>
            </w14:solidFill>
          </w14:textFill>
        </w:rPr>
        <w:t>万元。</w:t>
      </w:r>
    </w:p>
    <w:p>
      <w:pPr>
        <w:ind w:firstLine="640" w:firstLineChars="200"/>
        <w:rPr>
          <w:rFonts w:ascii="楷体" w:hAnsi="楷体" w:eastAsia="楷体"/>
          <w:color w:val="000000" w:themeColor="text1"/>
          <w:sz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（二）政府采购情况</w:t>
      </w:r>
    </w:p>
    <w:p>
      <w:pPr>
        <w:ind w:firstLine="64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政府采购预算总额0</w:t>
      </w:r>
      <w:r>
        <w:rPr>
          <w:rFonts w:hint="eastAsia" w:ascii="仿宋_GB2312" w:hAnsi="黑体" w:eastAsia="仿宋_GB2312"/>
          <w:color w:val="000000" w:themeColor="text1"/>
          <w:sz w:val="32"/>
          <w:szCs w:val="32"/>
          <w:highlight w:val="none"/>
          <w14:textFill>
            <w14:solidFill>
              <w14:schemeClr w14:val="tx1"/>
            </w14:solidFill>
          </w14:textFill>
        </w:rPr>
        <w:t>万元，其中：政府采购货物预算0万元，政府采购工程预算0万元，政府采购服务预算0万元。</w:t>
      </w:r>
    </w:p>
    <w:p>
      <w:pPr>
        <w:ind w:firstLine="640" w:firstLineChars="200"/>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（三）国有资产占有使用情况</w:t>
      </w:r>
    </w:p>
    <w:p>
      <w:pPr>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截至2021</w:t>
      </w:r>
      <w:r>
        <w:rPr>
          <w:rFonts w:hint="eastAsia" w:ascii="仿宋_GB2312" w:hAnsi="黑体" w:eastAsia="仿宋_GB2312"/>
          <w:color w:val="000000" w:themeColor="text1"/>
          <w:sz w:val="32"/>
          <w:szCs w:val="32"/>
          <w:highlight w:val="none"/>
          <w14:textFill>
            <w14:solidFill>
              <w14:schemeClr w14:val="tx1"/>
            </w14:solidFill>
          </w14:textFill>
        </w:rPr>
        <w:t>年12月31日，上海外国语大学三亚附属中学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本级及下属各预算单位共有车辆6辆，其中，领导干部用车0辆，机要通信应急用车0辆、一般执法执勤用车0辆、特种专业技术用车0辆、其他用车6辆。单位价值100万元以上设备0台（套）。</w:t>
      </w:r>
    </w:p>
    <w:p>
      <w:pPr>
        <w:ind w:firstLine="640" w:firstLineChars="200"/>
        <w:rPr>
          <w:rFonts w:ascii="楷体" w:hAnsi="楷体" w:eastAsia="楷体"/>
          <w:color w:val="000000" w:themeColor="text1"/>
          <w:sz w:val="32"/>
          <w:szCs w:val="32"/>
          <w:highlight w:val="none"/>
          <w14:textFill>
            <w14:solidFill>
              <w14:schemeClr w14:val="tx1"/>
            </w14:solidFill>
          </w14:textFill>
        </w:rPr>
      </w:pPr>
      <w:r>
        <w:rPr>
          <w:rFonts w:hint="eastAsia" w:ascii="楷体" w:hAnsi="楷体" w:eastAsia="楷体"/>
          <w:color w:val="000000" w:themeColor="text1"/>
          <w:sz w:val="32"/>
          <w:szCs w:val="32"/>
          <w:highlight w:val="none"/>
          <w14:textFill>
            <w14:solidFill>
              <w14:schemeClr w14:val="tx1"/>
            </w14:solidFill>
          </w14:textFill>
        </w:rPr>
        <w:t>（四）绩效目标设置情况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年上海外国语大学三亚附属中学</w:t>
      </w:r>
      <w:r>
        <w:rPr>
          <w:rFonts w:hint="eastAsia" w:ascii="仿宋_GB2312" w:hAnsi="黑体" w:eastAsia="仿宋_GB2312" w:cs="仿宋_GB2312"/>
          <w:color w:val="000000" w:themeColor="text1"/>
          <w:sz w:val="32"/>
          <w:szCs w:val="32"/>
          <w:highlight w:val="none"/>
          <w14:textFill>
            <w14:solidFill>
              <w14:schemeClr w14:val="tx1"/>
            </w14:solidFill>
          </w14:textFill>
        </w:rPr>
        <w:t>11个项目实行绩效目标管理，涉及一般公共预算3006.34</w:t>
      </w:r>
      <w:r>
        <w:rPr>
          <w:rFonts w:hint="eastAsia" w:ascii="仿宋_GB2312" w:hAnsi="黑体" w:eastAsia="仿宋_GB2312"/>
          <w:color w:val="000000" w:themeColor="text1"/>
          <w:sz w:val="32"/>
          <w:szCs w:val="32"/>
          <w:highlight w:val="none"/>
          <w14:textFill>
            <w14:solidFill>
              <w14:schemeClr w14:val="tx1"/>
            </w14:solidFill>
          </w14:textFill>
        </w:rPr>
        <w:t>万元、政府性基金0万元。</w:t>
      </w:r>
    </w:p>
    <w:p>
      <w:pPr>
        <w:jc w:val="center"/>
        <w:rPr>
          <w:rFonts w:ascii="黑体" w:hAnsi="黑体" w:eastAsia="黑体"/>
          <w:color w:val="000000" w:themeColor="text1"/>
          <w:sz w:val="32"/>
          <w:szCs w:val="32"/>
          <w:highlight w:val="none"/>
          <w14:textFill>
            <w14:solidFill>
              <w14:schemeClr w14:val="tx1"/>
            </w14:solidFill>
          </w14:textFill>
        </w:rPr>
      </w:pPr>
    </w:p>
    <w:p>
      <w:pPr>
        <w:jc w:val="left"/>
        <w:rPr>
          <w:rFonts w:ascii="仿宋_GB2312" w:hAnsi="宋体" w:eastAsia="仿宋_GB2312" w:cs="宋体"/>
          <w:color w:val="000000" w:themeColor="text1"/>
          <w:kern w:val="0"/>
          <w:sz w:val="32"/>
          <w:szCs w:val="30"/>
          <w:highlight w:val="none"/>
          <w14:textFill>
            <w14:solidFill>
              <w14:schemeClr w14:val="tx1"/>
            </w14:solidFill>
          </w14:textFill>
        </w:rPr>
      </w:pPr>
    </w:p>
    <w:p>
      <w:pPr>
        <w:jc w:val="left"/>
        <w:rPr>
          <w:rFonts w:ascii="仿宋_GB2312" w:hAnsi="宋体" w:eastAsia="仿宋_GB2312" w:cs="宋体"/>
          <w:color w:val="000000" w:themeColor="text1"/>
          <w:kern w:val="0"/>
          <w:sz w:val="32"/>
          <w:szCs w:val="30"/>
          <w:highlight w:val="none"/>
          <w14:textFill>
            <w14:solidFill>
              <w14:schemeClr w14:val="tx1"/>
            </w14:solidFill>
          </w14:textFill>
        </w:rPr>
      </w:pPr>
    </w:p>
    <w:p>
      <w:pPr>
        <w:jc w:val="left"/>
        <w:rPr>
          <w:rFonts w:ascii="仿宋_GB2312" w:hAnsi="宋体" w:eastAsia="仿宋_GB2312" w:cs="宋体"/>
          <w:color w:val="000000" w:themeColor="text1"/>
          <w:kern w:val="0"/>
          <w:sz w:val="32"/>
          <w:szCs w:val="30"/>
          <w:highlight w:val="none"/>
          <w14:textFill>
            <w14:solidFill>
              <w14:schemeClr w14:val="tx1"/>
            </w14:solidFill>
          </w14:textFill>
        </w:rPr>
      </w:pPr>
      <w:bookmarkStart w:id="0" w:name="_GoBack"/>
      <w:bookmarkEnd w:id="0"/>
    </w:p>
    <w:p>
      <w:pPr>
        <w:jc w:val="center"/>
        <w:rPr>
          <w:rFonts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第四部分  名词解释</w:t>
      </w:r>
    </w:p>
    <w:p>
      <w:pPr>
        <w:ind w:firstLine="640" w:firstLineChars="200"/>
        <w:jc w:val="left"/>
        <w:rPr>
          <w:rFonts w:ascii="仿宋_GB2312" w:eastAsia="仿宋_GB2312" w:cs="宋体"/>
          <w:bCs/>
          <w:color w:val="000000" w:themeColor="text1"/>
          <w:kern w:val="0"/>
          <w:sz w:val="32"/>
          <w:szCs w:val="32"/>
          <w:highlight w:val="none"/>
          <w:lang w:val="zh-CN"/>
          <w14:textFill>
            <w14:solidFill>
              <w14:schemeClr w14:val="tx1"/>
            </w14:solidFill>
          </w14:textFill>
        </w:rPr>
      </w:pP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14:textFill>
            <w14:solidFill>
              <w14:schemeClr w14:val="tx1"/>
            </w14:solidFill>
          </w14:textFill>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themeColor="text1"/>
          <w:kern w:val="0"/>
          <w:sz w:val="32"/>
          <w:szCs w:val="30"/>
          <w:highlight w:val="none"/>
          <w14:textFill>
            <w14:solidFill>
              <w14:schemeClr w14:val="tx1"/>
            </w14:solidFill>
          </w14:textFill>
        </w:rPr>
      </w:pPr>
    </w:p>
    <w:p>
      <w:pPr>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p>
    <w:p>
      <w:pPr>
        <w:ind w:firstLine="640" w:firstLineChars="200"/>
        <w:jc w:val="left"/>
        <w:rPr>
          <w:rFonts w:ascii="仿宋_GB2312" w:hAnsi="黑体" w:eastAsia="仿宋_GB2312" w:cs="仿宋_GB2312"/>
          <w:color w:val="000000" w:themeColor="text1"/>
          <w:sz w:val="32"/>
          <w:szCs w:val="32"/>
          <w:highlight w:val="none"/>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0"/>
    <w:family w:val="roman"/>
    <w:pitch w:val="default"/>
    <w:sig w:usb0="00000000" w:usb1="00000000" w:usb2="00000000" w:usb3="00000000" w:csb0="8000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decorative"/>
    <w:pitch w:val="default"/>
    <w:sig w:usb0="E0002AFF" w:usb1="C0007843" w:usb2="00000009" w:usb3="00000000" w:csb0="400001FF" w:csb1="FFFF0000"/>
  </w:font>
  <w:font w:name="Courier New">
    <w:panose1 w:val="02070309020205020404"/>
    <w:charset w:val="00"/>
    <w:family w:val="swiss"/>
    <w:pitch w:val="default"/>
    <w:sig w:usb0="E0002AFF" w:usb1="C0007843" w:usb2="00000009" w:usb3="00000000" w:csb0="400001FF" w:csb1="FFFF0000"/>
  </w:font>
  <w:font w:name="Symbol">
    <w:panose1 w:val="05050102010706020507"/>
    <w:charset w:val="00"/>
    <w:family w:val="modern"/>
    <w:pitch w:val="default"/>
    <w:sig w:usb0="00000000" w:usb1="00000000" w:usb2="00000000" w:usb3="00000000" w:csb0="8000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88554811">
    <w:nsid w:val="64A54D3B"/>
    <w:multiLevelType w:val="singleLevel"/>
    <w:tmpl w:val="64A54D3B"/>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885548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5840F7"/>
    <w:rsid w:val="0E53225B"/>
    <w:rsid w:val="13096C1F"/>
    <w:rsid w:val="518C3C24"/>
    <w:rsid w:val="7990114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 w:type="paragraph" w:customStyle="1" w:styleId="11">
    <w:name w:val="列出段落2"/>
    <w:basedOn w:val="1"/>
    <w:qFormat/>
    <w:uiPriority w:val="34"/>
    <w:pPr>
      <w:ind w:firstLine="420" w:firstLineChars="200"/>
    </w:pPr>
  </w:style>
  <w:style w:type="character" w:customStyle="1" w:styleId="12">
    <w:name w:val="批注框文本 Char"/>
    <w:basedOn w:val="5"/>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639</Words>
  <Characters>3644</Characters>
  <Lines>30</Lines>
  <Paragraphs>8</Paragraphs>
  <ScaleCrop>false</ScaleCrop>
  <LinksUpToDate>false</LinksUpToDate>
  <CharactersWithSpaces>4275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2023-07-29T10:34:00Z</dcterms:created>
  <dc:creator>null,null,总收发</dc:creator>
  <cp:lastModifiedBy>张皇姬</cp:lastModifiedBy>
  <dcterms:modified xsi:type="dcterms:W3CDTF">2023-08-03T07:06:34Z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BA1A72B391411593512EC66476DDD784_33</vt:lpwstr>
  </property>
</Properties>
</file>