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三亚市现代服务业产业园管理委员会</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56"/>
          <w:szCs w:val="56"/>
        </w:rPr>
        <w:sectPr>
          <w:pgSz w:w="11906" w:h="16838"/>
          <w:pgMar w:top="1440" w:right="1800" w:bottom="1440" w:left="1800" w:header="851" w:footer="992" w:gutter="0"/>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sz w:val="24"/>
          <w:szCs w:val="24"/>
        </w:rPr>
      </w:pPr>
    </w:p>
    <w:p>
      <w:pPr>
        <w:jc w:val="center"/>
        <w:rPr>
          <w:rFonts w:hint="eastAsia" w:ascii="黑体" w:hAnsi="黑体" w:eastAsia="黑体"/>
          <w:sz w:val="44"/>
          <w:szCs w:val="44"/>
        </w:rPr>
      </w:pPr>
      <w:r>
        <w:rPr>
          <w:rFonts w:hint="eastAsia" w:ascii="黑体" w:hAnsi="黑体" w:eastAsia="黑体"/>
          <w:sz w:val="44"/>
          <w:szCs w:val="44"/>
        </w:rPr>
        <w:t>目录</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sz w:val="24"/>
          <w:szCs w:val="24"/>
        </w:rPr>
      </w:pPr>
    </w:p>
    <w:p>
      <w:pPr>
        <w:pStyle w:val="6"/>
        <w:numPr>
          <w:ilvl w:val="0"/>
          <w:numId w:val="1"/>
        </w:numPr>
        <w:ind w:firstLineChars="0"/>
        <w:jc w:val="left"/>
        <w:outlineLvl w:val="9"/>
        <w:rPr>
          <w:rFonts w:ascii="黑体" w:hAnsi="黑体" w:eastAsia="黑体"/>
          <w:sz w:val="32"/>
          <w:szCs w:val="32"/>
        </w:rPr>
      </w:pPr>
      <w:r>
        <w:rPr>
          <w:rFonts w:hint="eastAsia" w:ascii="黑体" w:hAnsi="黑体" w:eastAsia="黑体" w:cs="黑体"/>
          <w:sz w:val="32"/>
          <w:szCs w:val="32"/>
          <w:lang w:val="en-US" w:eastAsia="zh-CN"/>
        </w:rPr>
        <w:t>三亚市现代服务业产业园管理委员会</w:t>
      </w:r>
      <w:r>
        <w:rPr>
          <w:rFonts w:hint="eastAsia" w:ascii="黑体" w:hAnsi="黑体" w:eastAsia="黑体"/>
          <w:sz w:val="32"/>
          <w:szCs w:val="32"/>
        </w:rPr>
        <w:t>（部门）概况</w:t>
      </w:r>
    </w:p>
    <w:p>
      <w:pPr>
        <w:pStyle w:val="6"/>
        <w:numPr>
          <w:ilvl w:val="0"/>
          <w:numId w:val="2"/>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主要职能</w:t>
      </w:r>
    </w:p>
    <w:p>
      <w:pPr>
        <w:pStyle w:val="6"/>
        <w:numPr>
          <w:ilvl w:val="0"/>
          <w:numId w:val="2"/>
        </w:numPr>
        <w:ind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部门预算单位构成</w:t>
      </w:r>
    </w:p>
    <w:p>
      <w:pPr>
        <w:pStyle w:val="6"/>
        <w:numPr>
          <w:ilvl w:val="0"/>
          <w:numId w:val="1"/>
        </w:numPr>
        <w:ind w:firstLineChars="0"/>
        <w:outlineLvl w:val="9"/>
        <w:rPr>
          <w:rFonts w:ascii="黑体" w:hAnsi="黑体" w:eastAsia="黑体"/>
          <w:sz w:val="32"/>
          <w:szCs w:val="32"/>
        </w:rPr>
      </w:pPr>
      <w:r>
        <w:rPr>
          <w:rFonts w:hint="eastAsia" w:ascii="黑体" w:hAnsi="黑体" w:eastAsia="黑体" w:cs="黑体"/>
          <w:sz w:val="32"/>
          <w:szCs w:val="32"/>
          <w:lang w:val="en-US" w:eastAsia="zh-CN"/>
        </w:rPr>
        <w:t>三亚市现代服务业产业园管理委员会</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年部门（单位）预算表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bookmarkStart w:id="0" w:name="_GoBack"/>
      <w:bookmarkEnd w:id="0"/>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outlineLvl w:val="9"/>
        <w:rPr>
          <w:rFonts w:ascii="仿宋_GB2312" w:hAnsi="仿宋_GB2312" w:eastAsia="仿宋_GB2312" w:cs="仿宋_GB2312"/>
          <w:sz w:val="32"/>
          <w:szCs w:val="32"/>
        </w:rPr>
      </w:pPr>
      <w:r>
        <w:rPr>
          <w:rFonts w:hint="eastAsia" w:ascii="黑体" w:hAnsi="黑体" w:eastAsia="黑体" w:cs="黑体"/>
          <w:sz w:val="32"/>
          <w:szCs w:val="32"/>
          <w:lang w:val="en-US" w:eastAsia="zh-CN"/>
        </w:rPr>
        <w:t>三亚市现代服务业产业园管理委员会</w:t>
      </w:r>
      <w:r>
        <w:rPr>
          <w:rFonts w:hint="eastAsia" w:ascii="黑体" w:hAnsi="黑体" w:eastAsia="黑体"/>
          <w:sz w:val="32"/>
          <w:szCs w:val="32"/>
        </w:rPr>
        <w:t>（部门）</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pStyle w:val="6"/>
        <w:numPr>
          <w:ilvl w:val="0"/>
          <w:numId w:val="1"/>
        </w:numPr>
        <w:ind w:firstLineChars="0"/>
        <w:jc w:val="left"/>
        <w:outlineLvl w:val="9"/>
        <w:rPr>
          <w:rFonts w:ascii="仿宋_GB2312" w:hAnsi="仿宋_GB2312" w:eastAsia="仿宋_GB2312" w:cs="仿宋_GB2312"/>
          <w:sz w:val="32"/>
          <w:szCs w:val="32"/>
        </w:rPr>
      </w:pPr>
      <w:r>
        <w:rPr>
          <w:rFonts w:hint="eastAsia" w:ascii="黑体" w:hAnsi="黑体" w:eastAsia="黑体"/>
          <w:sz w:val="32"/>
          <w:szCs w:val="32"/>
        </w:rPr>
        <w:t>名词解释</w:t>
      </w:r>
    </w:p>
    <w:p>
      <w:pPr>
        <w:pStyle w:val="6"/>
        <w:ind w:left="1320" w:firstLine="0" w:firstLineChars="0"/>
        <w:jc w:val="left"/>
        <w:rPr>
          <w:rFonts w:ascii="黑体" w:hAnsi="黑体" w:eastAsia="黑体"/>
          <w:sz w:val="32"/>
          <w:szCs w:val="32"/>
        </w:rPr>
      </w:pP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jc w:val="both"/>
        <w:textAlignment w:val="auto"/>
        <w:outlineLvl w:val="0"/>
        <w:rPr>
          <w:rFonts w:hint="eastAsia" w:ascii="黑体" w:hAnsi="黑体" w:eastAsia="黑体"/>
          <w:sz w:val="32"/>
          <w:szCs w:val="32"/>
          <w:lang w:val="en-US" w:eastAsia="zh-CN"/>
        </w:rPr>
        <w:sectPr>
          <w:pgSz w:w="11906" w:h="16838"/>
          <w:pgMar w:top="1440" w:right="1800" w:bottom="1440" w:left="1800" w:header="851" w:footer="992" w:gutter="0"/>
          <w:cols w:space="720" w:num="1"/>
          <w:docGrid w:type="lines" w:linePitch="312" w:charSpace="0"/>
        </w:sectPr>
      </w:pP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jc w:val="both"/>
        <w:textAlignment w:val="auto"/>
        <w:outlineLvl w:val="0"/>
        <w:rPr>
          <w:rFonts w:ascii="仿宋_GB2312" w:hAnsi="仿宋_GB2312" w:eastAsia="仿宋_GB2312" w:cs="仿宋_GB2312"/>
          <w:sz w:val="32"/>
          <w:szCs w:val="32"/>
        </w:rPr>
      </w:pPr>
      <w:r>
        <w:rPr>
          <w:rFonts w:hint="eastAsia" w:ascii="黑体" w:hAnsi="黑体" w:eastAsia="黑体"/>
          <w:sz w:val="32"/>
          <w:szCs w:val="32"/>
          <w:lang w:val="en-US" w:eastAsia="zh-CN"/>
        </w:rPr>
        <w:t xml:space="preserve">第一部分  </w:t>
      </w:r>
      <w:r>
        <w:rPr>
          <w:rFonts w:hint="eastAsia" w:ascii="黑体" w:hAnsi="黑体" w:eastAsia="黑体"/>
          <w:sz w:val="32"/>
          <w:szCs w:val="32"/>
        </w:rPr>
        <w:t>三亚市现代服务业产业园管理委员会（部门）概况</w:t>
      </w:r>
    </w:p>
    <w:p>
      <w:pPr>
        <w:pStyle w:val="6"/>
        <w:numPr>
          <w:ilvl w:val="0"/>
          <w:numId w:val="4"/>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负责贯彻实施国家、省、市发展现代服务业的法律和有关规定；坚持现代服务业发展的正确方向，负责各项优惠政策的落实，为现代服务业的发展创造良好的环境</w:t>
      </w:r>
      <w:r>
        <w:rPr>
          <w:rFonts w:hint="eastAsia" w:ascii="仿宋_GB2312" w:hAnsi="黑体"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负责在国家产业政策和整体规划指导下，制定海棠湾区内的建设规划和产业发展计划，新城区的开发建设，在市总体规划红线范围内的土地开发、批零、转让等工作；</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负责审批和管理区内的固定资产投资项目；</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负责审查进入开发区的企业资格；</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负责辖区内的统计工作；</w:t>
      </w:r>
    </w:p>
    <w:p>
      <w:pPr>
        <w:keepNext w:val="0"/>
        <w:keepLines w:val="0"/>
        <w:pageBreakBefore w:val="0"/>
        <w:widowControl w:val="0"/>
        <w:kinsoku/>
        <w:wordWrap/>
        <w:overflowPunct/>
        <w:topLinePunct w:val="0"/>
        <w:autoSpaceDE/>
        <w:autoSpaceDN/>
        <w:bidi w:val="0"/>
        <w:adjustRightInd/>
        <w:snapToGrid/>
        <w:ind w:left="0" w:leftChars="0" w:firstLine="640" w:firstLineChars="200"/>
        <w:jc w:val="both"/>
        <w:textAlignment w:val="auto"/>
        <w:rPr>
          <w:rFonts w:hint="eastAsia" w:ascii="仿宋_GB2312" w:hAnsi="黑体" w:eastAsia="仿宋_GB2312" w:cs="仿宋_GB2312"/>
          <w:sz w:val="32"/>
          <w:szCs w:val="32"/>
          <w:lang w:eastAsia="zh-CN"/>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行使市政府授予的其他职权</w:t>
      </w:r>
      <w:r>
        <w:rPr>
          <w:rFonts w:hint="eastAsia" w:ascii="仿宋_GB2312" w:hAnsi="黑体" w:eastAsia="仿宋_GB2312" w:cs="仿宋_GB2312"/>
          <w:sz w:val="32"/>
          <w:szCs w:val="32"/>
          <w:lang w:eastAsia="zh-CN"/>
        </w:rPr>
        <w:t>。</w:t>
      </w:r>
    </w:p>
    <w:p>
      <w:pPr>
        <w:pStyle w:val="6"/>
        <w:numPr>
          <w:ilvl w:val="0"/>
          <w:numId w:val="4"/>
        </w:numPr>
        <w:ind w:firstLineChars="0"/>
        <w:jc w:val="left"/>
        <w:outlineLvl w:val="1"/>
        <w:rPr>
          <w:rFonts w:ascii="黑体" w:hAnsi="黑体" w:eastAsia="黑体" w:cs="仿宋_GB2312"/>
          <w:sz w:val="32"/>
          <w:szCs w:val="32"/>
        </w:rPr>
      </w:pPr>
      <w:r>
        <w:rPr>
          <w:rFonts w:hint="eastAsia" w:ascii="黑体" w:hAnsi="黑体" w:eastAsia="黑体" w:cs="仿宋_GB2312"/>
          <w:sz w:val="32"/>
          <w:szCs w:val="32"/>
        </w:rPr>
        <w:t>部门预算单位构成</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（一）纳入三亚市现代服务业产业园管理委员会（部门）2021年部门预算编制范围的二级预算单位包括：</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1.三亚市现代服务业产业园管理委员会部门本级；</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2.无（下属单位）。</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（二）机构设置：</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1.党政办公室；</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2.规划建设局；</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3.招商服务局；</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cs="仿宋_GB2312"/>
          <w:kern w:val="2"/>
          <w:sz w:val="32"/>
          <w:szCs w:val="32"/>
          <w:lang w:val="en-US" w:eastAsia="zh-CN" w:bidi="ar-SA"/>
        </w:rPr>
        <w:t>4.项目建设管理办公室；</w:t>
      </w:r>
    </w:p>
    <w:p>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_GB2312" w:hAnsi="黑体" w:eastAsia="仿宋_GB2312" w:cs="仿宋_GB2312"/>
          <w:kern w:val="2"/>
          <w:sz w:val="32"/>
          <w:szCs w:val="32"/>
          <w:lang w:val="en-US" w:eastAsia="zh-CN" w:bidi="ar-SA"/>
        </w:rPr>
      </w:pP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jc w:val="both"/>
        <w:textAlignment w:val="auto"/>
        <w:outlineLvl w:val="0"/>
        <w:rPr>
          <w:rFonts w:hint="eastAsia" w:ascii="黑体" w:hAnsi="黑体" w:eastAsia="黑体"/>
          <w:sz w:val="32"/>
          <w:szCs w:val="32"/>
          <w:lang w:val="en-US" w:eastAsia="zh-CN"/>
        </w:rPr>
      </w:pPr>
      <w:r>
        <w:rPr>
          <w:rFonts w:hint="eastAsia" w:ascii="黑体" w:hAnsi="黑体" w:eastAsia="黑体"/>
          <w:sz w:val="32"/>
          <w:szCs w:val="32"/>
          <w:lang w:val="en-US" w:eastAsia="zh-CN"/>
        </w:rPr>
        <w:t>第二部分  三亚市现代服务业产业园管理委员会（部门）2022年部门预算表</w:t>
      </w: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jc w:val="both"/>
        <w:textAlignment w:val="auto"/>
        <w:outlineLvl w:val="0"/>
        <w:rPr>
          <w:rFonts w:hint="eastAsia" w:ascii="黑体" w:hAnsi="黑体" w:eastAsia="黑体"/>
          <w:sz w:val="32"/>
          <w:szCs w:val="32"/>
          <w:lang w:val="en-US" w:eastAsia="zh-CN"/>
        </w:rPr>
      </w:pPr>
      <w:r>
        <w:rPr>
          <w:rFonts w:hint="eastAsia" w:ascii="黑体" w:hAnsi="黑体" w:eastAsia="黑体"/>
          <w:sz w:val="32"/>
          <w:szCs w:val="32"/>
          <w:lang w:val="en-US" w:eastAsia="zh-CN"/>
        </w:rPr>
        <w:t>第三部分  三亚市现代服务业产业园管理委员会（部门）2022年部门预算情况说明</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1"/>
        <w:rPr>
          <w:rFonts w:ascii="黑体" w:hAnsi="黑体" w:eastAsia="黑体"/>
          <w:sz w:val="32"/>
          <w:szCs w:val="32"/>
        </w:rPr>
      </w:pPr>
      <w:r>
        <w:rPr>
          <w:rFonts w:hint="eastAsia" w:ascii="黑体" w:hAnsi="黑体" w:eastAsia="黑体"/>
          <w:sz w:val="32"/>
          <w:szCs w:val="32"/>
        </w:rPr>
        <w:t>一、关于三亚市现代服务业产业园管理委员会（部门）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_GB2312" w:hAnsi="黑体" w:eastAsia="仿宋_GB2312" w:cs="仿宋_GB2312"/>
          <w:kern w:val="2"/>
          <w:sz w:val="32"/>
          <w:szCs w:val="32"/>
          <w:lang w:val="en-US" w:eastAsia="zh-CN" w:bidi="ar-SA"/>
        </w:rPr>
      </w:pPr>
      <w:r>
        <w:rPr>
          <w:rFonts w:hint="eastAsia" w:ascii="仿宋_GB2312" w:hAnsi="黑体" w:eastAsia="仿宋_GB2312"/>
          <w:sz w:val="32"/>
          <w:szCs w:val="32"/>
        </w:rPr>
        <w:t>三亚市现代服务业产业园管理委员会</w:t>
      </w:r>
      <w:r>
        <w:rPr>
          <w:rFonts w:hint="eastAsia" w:ascii="仿宋_GB2312" w:hAnsi="黑体" w:eastAsia="仿宋_GB2312" w:cs="仿宋_GB2312"/>
          <w:kern w:val="2"/>
          <w:sz w:val="32"/>
          <w:szCs w:val="32"/>
          <w:lang w:val="en-US" w:eastAsia="zh-CN" w:bidi="ar-SA"/>
        </w:rPr>
        <w:t>（部门）2022年财政拨款收支总预算4,411.16万元。其中，收入总计2,205.58万元，包括一般公共预算本年收入1,834.22万元、上年结转0.00万元，政府性基金预算本年收入0.00万元、上年结转371.37万元；支出总计2,205.58万元，包括一般公共服务支出482.52万元、社会保障和就业支出49.30万元、卫生健康支出62.19万元、城乡社区支出1,571.37万元、住房保障支出40.21万元、结转下年0.00万元。</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1"/>
        <w:rPr>
          <w:rFonts w:ascii="黑体" w:hAnsi="黑体" w:eastAsia="黑体"/>
          <w:sz w:val="32"/>
          <w:szCs w:val="32"/>
        </w:rPr>
      </w:pPr>
      <w:r>
        <w:rPr>
          <w:rFonts w:hint="eastAsia" w:ascii="黑体" w:hAnsi="黑体" w:eastAsia="黑体"/>
          <w:sz w:val="32"/>
          <w:szCs w:val="32"/>
        </w:rPr>
        <w:t>二、关于三亚市现代服务业产业园管理委员会（部门）</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both"/>
        <w:outlineLvl w:val="2"/>
        <w:rPr>
          <w:rFonts w:ascii="楷体" w:hAnsi="楷体" w:eastAsia="楷体"/>
          <w:sz w:val="32"/>
          <w:szCs w:val="32"/>
        </w:rPr>
      </w:pPr>
      <w:r>
        <w:rPr>
          <w:rFonts w:hint="eastAsia" w:ascii="楷体" w:hAnsi="楷体" w:eastAsia="楷体"/>
          <w:sz w:val="32"/>
          <w:szCs w:val="32"/>
        </w:rPr>
        <w:t>（一）一般公共预算当年规模变化情况</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_GB2312" w:hAnsi="黑体" w:eastAsia="仿宋_GB2312"/>
          <w:sz w:val="32"/>
          <w:szCs w:val="32"/>
          <w:lang w:val="en-US" w:eastAsia="zh-CN"/>
        </w:rPr>
      </w:pPr>
      <w:r>
        <w:rPr>
          <w:rFonts w:hint="eastAsia" w:ascii="仿宋_GB2312" w:hAnsi="黑体" w:eastAsia="仿宋_GB2312"/>
          <w:sz w:val="32"/>
          <w:szCs w:val="32"/>
        </w:rPr>
        <w:t>三亚市现代服务业产业园管理委员会</w:t>
      </w:r>
      <w:r>
        <w:rPr>
          <w:rFonts w:hint="eastAsia" w:ascii="仿宋_GB2312" w:hAnsi="黑体" w:eastAsia="仿宋_GB2312" w:cs="仿宋_GB2312"/>
          <w:kern w:val="2"/>
          <w:sz w:val="32"/>
          <w:szCs w:val="32"/>
          <w:lang w:val="en-US" w:eastAsia="zh-CN" w:bidi="ar-SA"/>
        </w:rPr>
        <w:t>（部门）2022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1,834.22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247.09</w:t>
      </w:r>
      <w:r>
        <w:rPr>
          <w:rFonts w:hint="eastAsia" w:ascii="仿宋_GB2312" w:hAnsi="黑体" w:eastAsia="仿宋_GB2312"/>
          <w:sz w:val="32"/>
          <w:szCs w:val="32"/>
        </w:rPr>
        <w:t>万元，主要</w:t>
      </w:r>
      <w:r>
        <w:rPr>
          <w:rFonts w:hint="eastAsia" w:ascii="仿宋_GB2312" w:hAnsi="黑体" w:eastAsia="仿宋_GB2312"/>
          <w:sz w:val="32"/>
          <w:szCs w:val="32"/>
          <w:lang w:val="en-US" w:eastAsia="zh-CN"/>
        </w:rPr>
        <w:t>原因</w:t>
      </w:r>
      <w:r>
        <w:rPr>
          <w:rFonts w:hint="eastAsia" w:ascii="仿宋_GB2312" w:hAnsi="黑体" w:eastAsia="仿宋_GB2312"/>
          <w:sz w:val="32"/>
          <w:szCs w:val="32"/>
        </w:rPr>
        <w:t>是</w:t>
      </w:r>
      <w:r>
        <w:rPr>
          <w:rFonts w:hint="eastAsia" w:ascii="仿宋_GB2312" w:hAnsi="黑体" w:eastAsia="仿宋_GB2312"/>
          <w:sz w:val="32"/>
          <w:szCs w:val="32"/>
          <w:lang w:val="en-US" w:eastAsia="zh-CN"/>
        </w:rPr>
        <w:t>城乡社区</w:t>
      </w:r>
      <w:r>
        <w:rPr>
          <w:rFonts w:hint="eastAsia" w:ascii="仿宋_GB2312" w:hAnsi="黑体" w:eastAsia="仿宋_GB2312"/>
          <w:sz w:val="32"/>
          <w:szCs w:val="32"/>
        </w:rPr>
        <w:t>支出</w:t>
      </w:r>
      <w:r>
        <w:rPr>
          <w:rFonts w:hint="eastAsia" w:ascii="仿宋_GB2312" w:hAnsi="黑体" w:eastAsia="仿宋_GB2312"/>
          <w:sz w:val="32"/>
          <w:szCs w:val="32"/>
          <w:highlight w:val="none"/>
        </w:rPr>
        <w:t>标准有所</w:t>
      </w:r>
      <w:r>
        <w:rPr>
          <w:rFonts w:hint="eastAsia" w:ascii="仿宋_GB2312" w:hAnsi="黑体" w:eastAsia="仿宋_GB2312"/>
          <w:sz w:val="32"/>
          <w:szCs w:val="32"/>
          <w:lang w:val="en-US" w:eastAsia="zh-CN"/>
        </w:rPr>
        <w:t>提高。</w:t>
      </w:r>
    </w:p>
    <w:p>
      <w:pPr>
        <w:ind w:firstLine="640"/>
        <w:jc w:val="left"/>
        <w:outlineLvl w:val="2"/>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cs="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482.52</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26.31</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社会保障和就业</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49.30</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2.69</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卫生健康</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62.19</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3.39</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城乡社区</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1,200.00</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65.42</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住房保障</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40.21</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2.19</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w:t>
      </w:r>
    </w:p>
    <w:p>
      <w:pPr>
        <w:ind w:firstLine="640"/>
        <w:jc w:val="left"/>
        <w:outlineLvl w:val="2"/>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rPr>
        <w:t>1.一般公共服务（类）政府办公厅</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室</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及相关机构事务（款）行政运行（项）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482.52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增加25.85</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主要是支出标准有所</w:t>
      </w:r>
      <w:r>
        <w:rPr>
          <w:rFonts w:hint="eastAsia" w:ascii="仿宋_GB2312" w:hAnsi="黑体" w:eastAsia="仿宋_GB2312"/>
          <w:sz w:val="32"/>
          <w:szCs w:val="32"/>
          <w:lang w:val="en-US" w:eastAsia="zh-CN"/>
        </w:rPr>
        <w:t>提高</w:t>
      </w:r>
      <w:r>
        <w:rPr>
          <w:rFonts w:hint="eastAsia" w:ascii="仿宋_GB2312" w:hAnsi="黑体" w:eastAsia="仿宋_GB2312"/>
          <w:sz w:val="32"/>
          <w:szCs w:val="32"/>
          <w:highlight w:val="none"/>
          <w:lang w:eastAsia="zh-CN"/>
        </w:rPr>
        <w:t>。</w:t>
      </w:r>
    </w:p>
    <w:p>
      <w:pPr>
        <w:ind w:firstLine="640" w:firstLineChars="200"/>
        <w:rPr>
          <w:rFonts w:ascii="仿宋_GB2312" w:hAnsi="黑体" w:eastAsia="仿宋_GB2312"/>
          <w:sz w:val="32"/>
          <w:szCs w:val="32"/>
          <w:highlight w:val="yellow"/>
        </w:rPr>
      </w:pPr>
      <w:r>
        <w:rPr>
          <w:rFonts w:hint="eastAsia" w:ascii="仿宋_GB2312" w:hAnsi="黑体" w:eastAsia="仿宋_GB2312"/>
          <w:sz w:val="32"/>
          <w:szCs w:val="32"/>
        </w:rPr>
        <w:t>2.</w:t>
      </w:r>
      <w:r>
        <w:rPr>
          <w:rFonts w:hint="eastAsia" w:ascii="仿宋_GB2312" w:hAnsi="黑体" w:eastAsia="仿宋_GB2312"/>
          <w:sz w:val="32"/>
          <w:szCs w:val="32"/>
          <w:lang w:val="en-US" w:eastAsia="zh-CN"/>
        </w:rPr>
        <w:t>社会保障和就业</w:t>
      </w:r>
      <w:r>
        <w:rPr>
          <w:rFonts w:hint="eastAsia" w:ascii="仿宋_GB2312" w:hAnsi="黑体" w:eastAsia="仿宋_GB2312" w:cs="仿宋_GB2312"/>
          <w:sz w:val="32"/>
          <w:szCs w:val="32"/>
        </w:rPr>
        <w:t>（类）行政事业单位养老支出（款）机关事业单位基本养老保险缴费支出（项）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49.30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增加7.48</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主要是支出标准有所</w:t>
      </w:r>
      <w:r>
        <w:rPr>
          <w:rFonts w:hint="eastAsia" w:ascii="仿宋_GB2312" w:hAnsi="黑体" w:eastAsia="仿宋_GB2312"/>
          <w:sz w:val="32"/>
          <w:szCs w:val="32"/>
          <w:lang w:val="en-US" w:eastAsia="zh-CN"/>
        </w:rPr>
        <w:t>提高</w:t>
      </w:r>
      <w:r>
        <w:rPr>
          <w:rFonts w:hint="eastAsia" w:ascii="仿宋_GB2312" w:hAnsi="黑体" w:eastAsia="仿宋_GB2312"/>
          <w:sz w:val="32"/>
          <w:szCs w:val="32"/>
          <w:highlight w:val="none"/>
          <w:lang w:eastAsia="zh-CN"/>
        </w:rPr>
        <w:t>。</w:t>
      </w:r>
    </w:p>
    <w:p>
      <w:pPr>
        <w:ind w:firstLine="640" w:firstLineChars="200"/>
        <w:rPr>
          <w:rFonts w:ascii="仿宋_GB2312" w:hAnsi="黑体" w:eastAsia="仿宋_GB2312"/>
          <w:sz w:val="32"/>
          <w:szCs w:val="32"/>
          <w:highlight w:val="yellow"/>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卫生健康支出</w:t>
      </w:r>
      <w:r>
        <w:rPr>
          <w:rFonts w:hint="eastAsia" w:ascii="仿宋_GB2312" w:hAnsi="黑体" w:eastAsia="仿宋_GB2312" w:cs="仿宋_GB2312"/>
          <w:sz w:val="32"/>
          <w:szCs w:val="32"/>
        </w:rPr>
        <w:t>（类）行政事业单位医疗（款）行政单位医疗（项）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26.19</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增加3.97</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主要是支出标准有所</w:t>
      </w:r>
      <w:r>
        <w:rPr>
          <w:rFonts w:hint="eastAsia" w:ascii="仿宋_GB2312" w:hAnsi="黑体" w:eastAsia="仿宋_GB2312"/>
          <w:sz w:val="32"/>
          <w:szCs w:val="32"/>
          <w:lang w:val="en-US" w:eastAsia="zh-CN"/>
        </w:rPr>
        <w:t>提高</w:t>
      </w:r>
      <w:r>
        <w:rPr>
          <w:rFonts w:hint="eastAsia" w:ascii="仿宋_GB2312" w:hAnsi="黑体" w:eastAsia="仿宋_GB2312"/>
          <w:sz w:val="32"/>
          <w:szCs w:val="32"/>
          <w:highlight w:val="none"/>
          <w:lang w:eastAsia="zh-CN"/>
        </w:rPr>
        <w:t>。</w:t>
      </w:r>
    </w:p>
    <w:p>
      <w:pPr>
        <w:ind w:firstLine="640" w:firstLineChars="200"/>
        <w:rPr>
          <w:rFonts w:ascii="仿宋_GB2312" w:hAnsi="黑体" w:eastAsia="仿宋_GB2312"/>
          <w:sz w:val="32"/>
          <w:szCs w:val="32"/>
          <w:highlight w:val="yellow"/>
        </w:rPr>
      </w:pPr>
      <w:r>
        <w:rPr>
          <w:rFonts w:hint="eastAsia" w:ascii="仿宋_GB2312" w:hAnsi="黑体" w:eastAsia="仿宋_GB2312"/>
          <w:sz w:val="32"/>
          <w:szCs w:val="32"/>
          <w:lang w:val="en-US" w:eastAsia="zh-CN"/>
        </w:rPr>
        <w:t>4</w:t>
      </w:r>
      <w:r>
        <w:rPr>
          <w:rFonts w:hint="eastAsia" w:ascii="仿宋_GB2312" w:hAnsi="黑体" w:eastAsia="仿宋_GB2312"/>
          <w:sz w:val="32"/>
          <w:szCs w:val="32"/>
        </w:rPr>
        <w:t>.</w:t>
      </w:r>
      <w:r>
        <w:rPr>
          <w:rFonts w:hint="eastAsia" w:ascii="仿宋_GB2312" w:hAnsi="黑体" w:eastAsia="仿宋_GB2312"/>
          <w:sz w:val="32"/>
          <w:szCs w:val="32"/>
          <w:lang w:val="en-US" w:eastAsia="zh-CN"/>
        </w:rPr>
        <w:t>卫生健康支出</w:t>
      </w:r>
      <w:r>
        <w:rPr>
          <w:rFonts w:hint="eastAsia" w:ascii="仿宋_GB2312" w:hAnsi="黑体" w:eastAsia="仿宋_GB2312" w:cs="仿宋_GB2312"/>
          <w:sz w:val="32"/>
          <w:szCs w:val="32"/>
        </w:rPr>
        <w:t>（类）行政事业单位医疗（款）公务员医疗补助（项）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36.01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增加4.46</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主要是支出标准有所</w:t>
      </w:r>
      <w:r>
        <w:rPr>
          <w:rFonts w:hint="eastAsia" w:ascii="仿宋_GB2312" w:hAnsi="黑体" w:eastAsia="仿宋_GB2312"/>
          <w:sz w:val="32"/>
          <w:szCs w:val="32"/>
          <w:lang w:val="en-US" w:eastAsia="zh-CN"/>
        </w:rPr>
        <w:t>提高</w:t>
      </w:r>
      <w:r>
        <w:rPr>
          <w:rFonts w:hint="eastAsia" w:ascii="仿宋_GB2312" w:hAnsi="黑体" w:eastAsia="仿宋_GB2312"/>
          <w:sz w:val="32"/>
          <w:szCs w:val="32"/>
          <w:highlight w:val="none"/>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5</w:t>
      </w:r>
      <w:r>
        <w:rPr>
          <w:rFonts w:hint="eastAsia" w:ascii="仿宋_GB2312" w:hAnsi="黑体" w:eastAsia="仿宋_GB2312"/>
          <w:sz w:val="32"/>
          <w:szCs w:val="32"/>
        </w:rPr>
        <w:t>.</w:t>
      </w:r>
      <w:r>
        <w:rPr>
          <w:rFonts w:hint="eastAsia" w:ascii="仿宋_GB2312" w:hAnsi="黑体" w:eastAsia="仿宋_GB2312"/>
          <w:sz w:val="32"/>
          <w:szCs w:val="32"/>
          <w:lang w:val="en-US" w:eastAsia="zh-CN"/>
        </w:rPr>
        <w:t>城乡社区支出</w:t>
      </w:r>
      <w:r>
        <w:rPr>
          <w:rFonts w:hint="eastAsia" w:ascii="仿宋_GB2312" w:hAnsi="黑体" w:eastAsia="仿宋_GB2312" w:cs="仿宋_GB2312"/>
          <w:sz w:val="32"/>
          <w:szCs w:val="32"/>
        </w:rPr>
        <w:t>（类）城乡社区管理事务（款）一般行政管理事务（项）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1,200.00</w:t>
      </w:r>
      <w:r>
        <w:rPr>
          <w:rFonts w:hint="eastAsia" w:ascii="仿宋_GB2312" w:hAnsi="黑体" w:eastAsia="仿宋_GB2312"/>
          <w:sz w:val="32"/>
          <w:szCs w:val="32"/>
        </w:rPr>
        <w:t>元，比上年预算数</w:t>
      </w:r>
      <w:r>
        <w:rPr>
          <w:rFonts w:hint="eastAsia" w:ascii="仿宋_GB2312" w:hAnsi="黑体" w:eastAsia="仿宋_GB2312" w:cs="仿宋_GB2312"/>
          <w:sz w:val="32"/>
          <w:szCs w:val="32"/>
          <w:lang w:val="en-US" w:eastAsia="zh-CN"/>
        </w:rPr>
        <w:t>增加200</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主要是支出标准有所</w:t>
      </w:r>
      <w:r>
        <w:rPr>
          <w:rFonts w:hint="eastAsia" w:ascii="仿宋_GB2312" w:hAnsi="黑体" w:eastAsia="仿宋_GB2312"/>
          <w:sz w:val="32"/>
          <w:szCs w:val="32"/>
          <w:lang w:val="en-US" w:eastAsia="zh-CN"/>
        </w:rPr>
        <w:t>提高</w:t>
      </w:r>
      <w:r>
        <w:rPr>
          <w:rFonts w:hint="eastAsia" w:ascii="仿宋_GB2312" w:hAnsi="黑体" w:eastAsia="仿宋_GB2312"/>
          <w:sz w:val="32"/>
          <w:szCs w:val="32"/>
          <w:highlight w:val="none"/>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6</w:t>
      </w:r>
      <w:r>
        <w:rPr>
          <w:rFonts w:hint="eastAsia" w:ascii="仿宋_GB2312" w:hAnsi="黑体" w:eastAsia="仿宋_GB2312"/>
          <w:sz w:val="32"/>
          <w:szCs w:val="32"/>
        </w:rPr>
        <w:t>.</w:t>
      </w:r>
      <w:r>
        <w:rPr>
          <w:rFonts w:hint="eastAsia" w:ascii="仿宋_GB2312" w:hAnsi="黑体" w:eastAsia="仿宋_GB2312"/>
          <w:sz w:val="32"/>
          <w:szCs w:val="32"/>
          <w:lang w:val="en-US" w:eastAsia="zh-CN"/>
        </w:rPr>
        <w:t>住房保障支出</w:t>
      </w:r>
      <w:r>
        <w:rPr>
          <w:rFonts w:hint="eastAsia" w:ascii="仿宋_GB2312" w:hAnsi="黑体" w:eastAsia="仿宋_GB2312" w:cs="仿宋_GB2312"/>
          <w:sz w:val="32"/>
          <w:szCs w:val="32"/>
        </w:rPr>
        <w:t>（类）住房改革支出（款）住房公积金（项）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40.21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val="en-US" w:eastAsia="zh-CN"/>
        </w:rPr>
        <w:t>增加5.34</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主要是支出标准有所</w:t>
      </w:r>
      <w:r>
        <w:rPr>
          <w:rFonts w:hint="eastAsia" w:ascii="仿宋_GB2312" w:hAnsi="黑体" w:eastAsia="仿宋_GB2312"/>
          <w:sz w:val="32"/>
          <w:szCs w:val="32"/>
          <w:lang w:val="en-US" w:eastAsia="zh-CN"/>
        </w:rPr>
        <w:t>提高</w:t>
      </w:r>
      <w:r>
        <w:rPr>
          <w:rFonts w:hint="eastAsia" w:ascii="仿宋_GB2312" w:hAnsi="黑体" w:eastAsia="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1"/>
        <w:rPr>
          <w:rFonts w:ascii="黑体" w:hAnsi="黑体" w:eastAsia="黑体"/>
          <w:sz w:val="32"/>
          <w:szCs w:val="32"/>
        </w:rPr>
      </w:pPr>
      <w:r>
        <w:rPr>
          <w:rFonts w:hint="eastAsia" w:ascii="黑体" w:hAnsi="黑体" w:eastAsia="黑体"/>
          <w:sz w:val="32"/>
          <w:szCs w:val="32"/>
        </w:rPr>
        <w:t>三、关于三亚市现代服务业产业园管理委员会（部门）</w:t>
      </w:r>
      <w:r>
        <w:rPr>
          <w:rFonts w:hint="eastAsia" w:ascii="仿宋_GB2312" w:hAnsi="黑体" w:eastAsia="仿宋_GB2312"/>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三亚市现代服务业产业园管理委员会（部门）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634.22</w:t>
      </w:r>
      <w:r>
        <w:rPr>
          <w:rFonts w:hint="eastAsia" w:ascii="仿宋_GB2312" w:hAnsi="黑体" w:eastAsia="仿宋_GB2312"/>
          <w:sz w:val="32"/>
          <w:szCs w:val="32"/>
        </w:rPr>
        <w:t>万元，其中：</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588.05</w:t>
      </w:r>
      <w:r>
        <w:rPr>
          <w:rFonts w:hint="eastAsia" w:ascii="仿宋_GB2312" w:hAnsi="黑体" w:eastAsia="仿宋_GB2312"/>
          <w:sz w:val="32"/>
          <w:szCs w:val="32"/>
        </w:rPr>
        <w:t>万元，主要包括：津贴补贴</w:t>
      </w:r>
      <w:r>
        <w:rPr>
          <w:rFonts w:hint="eastAsia" w:ascii="仿宋_GB2312" w:hAnsi="黑体" w:eastAsia="仿宋_GB2312"/>
          <w:sz w:val="32"/>
          <w:szCs w:val="32"/>
          <w:lang w:eastAsia="zh-CN"/>
        </w:rPr>
        <w:t>、</w:t>
      </w:r>
      <w:r>
        <w:rPr>
          <w:rFonts w:hint="eastAsia" w:ascii="仿宋_GB2312" w:hAnsi="黑体" w:eastAsia="仿宋_GB2312"/>
          <w:sz w:val="32"/>
          <w:szCs w:val="32"/>
        </w:rPr>
        <w:t>基本工资、奖金、</w:t>
      </w:r>
      <w:r>
        <w:rPr>
          <w:rFonts w:hint="eastAsia" w:ascii="仿宋_GB2312" w:hAnsi="黑体" w:eastAsia="仿宋_GB2312"/>
          <w:sz w:val="32"/>
          <w:szCs w:val="32"/>
          <w:lang w:val="en-US" w:eastAsia="zh-CN"/>
        </w:rPr>
        <w:t>绩效工资</w:t>
      </w:r>
      <w:r>
        <w:rPr>
          <w:rFonts w:hint="eastAsia" w:ascii="仿宋_GB2312" w:hAnsi="黑体" w:eastAsia="仿宋_GB2312"/>
          <w:sz w:val="32"/>
          <w:szCs w:val="32"/>
          <w:lang w:eastAsia="zh-CN"/>
        </w:rPr>
        <w:t>、</w:t>
      </w:r>
      <w:r>
        <w:rPr>
          <w:rFonts w:hint="eastAsia" w:ascii="仿宋_GB2312" w:hAnsi="黑体" w:eastAsia="仿宋_GB2312"/>
          <w:sz w:val="32"/>
          <w:szCs w:val="32"/>
        </w:rPr>
        <w:t>社会保障缴费、</w:t>
      </w:r>
      <w:r>
        <w:rPr>
          <w:rFonts w:hint="eastAsia" w:ascii="仿宋_GB2312" w:hAnsi="黑体" w:eastAsia="仿宋_GB2312"/>
          <w:sz w:val="32"/>
          <w:szCs w:val="32"/>
          <w:lang w:eastAsia="zh-CN"/>
        </w:rPr>
        <w:t>住房公积金、商品和服务支出；</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46.17</w:t>
      </w:r>
      <w:r>
        <w:rPr>
          <w:rFonts w:hint="eastAsia" w:ascii="仿宋_GB2312" w:hAnsi="黑体" w:eastAsia="仿宋_GB2312"/>
          <w:sz w:val="32"/>
          <w:szCs w:val="32"/>
        </w:rPr>
        <w:t>万元，主要包括：</w:t>
      </w:r>
      <w:r>
        <w:rPr>
          <w:rFonts w:hint="eastAsia" w:ascii="仿宋_GB2312" w:hAnsi="黑体" w:eastAsia="仿宋_GB2312"/>
          <w:sz w:val="32"/>
          <w:szCs w:val="32"/>
          <w:lang w:val="en-US" w:eastAsia="zh-CN"/>
        </w:rPr>
        <w:t>商品和服务支出</w:t>
      </w:r>
      <w:r>
        <w:rPr>
          <w:rFonts w:hint="eastAsia" w:ascii="仿宋_GB2312" w:hAnsi="黑体" w:eastAsia="仿宋_GB2312"/>
          <w:sz w:val="32"/>
          <w:szCs w:val="32"/>
        </w:rPr>
        <w:t>、办公费</w:t>
      </w:r>
      <w:r>
        <w:rPr>
          <w:rFonts w:hint="eastAsia" w:ascii="仿宋_GB2312" w:hAnsi="黑体" w:eastAsia="仿宋_GB2312"/>
          <w:sz w:val="32"/>
          <w:szCs w:val="32"/>
          <w:lang w:val="en-US" w:eastAsia="zh-CN"/>
        </w:rPr>
        <w:t>、</w:t>
      </w:r>
      <w:r>
        <w:rPr>
          <w:rFonts w:hint="eastAsia" w:ascii="仿宋_GB2312" w:hAnsi="黑体" w:eastAsia="仿宋_GB2312"/>
          <w:sz w:val="32"/>
          <w:szCs w:val="32"/>
        </w:rPr>
        <w:t>其他社会保障缴费</w:t>
      </w:r>
      <w:r>
        <w:rPr>
          <w:rFonts w:hint="eastAsia" w:ascii="仿宋_GB2312" w:hAnsi="黑体" w:eastAsia="仿宋_GB2312"/>
          <w:sz w:val="32"/>
          <w:szCs w:val="32"/>
          <w:lang w:eastAsia="zh-CN"/>
        </w:rPr>
        <w:t>、</w:t>
      </w:r>
      <w:r>
        <w:rPr>
          <w:rFonts w:hint="eastAsia" w:ascii="仿宋_GB2312" w:hAnsi="黑体" w:eastAsia="仿宋_GB2312"/>
          <w:sz w:val="32"/>
          <w:szCs w:val="32"/>
        </w:rPr>
        <w:t>工会经费</w:t>
      </w:r>
      <w:r>
        <w:rPr>
          <w:rFonts w:hint="eastAsia" w:ascii="仿宋_GB2312" w:hAnsi="黑体" w:eastAsia="仿宋_GB2312"/>
          <w:sz w:val="32"/>
          <w:szCs w:val="32"/>
          <w:lang w:eastAsia="zh-CN"/>
        </w:rPr>
        <w:t>、对个人和家庭的补助</w:t>
      </w:r>
      <w:r>
        <w:rPr>
          <w:rFonts w:hint="eastAsia" w:ascii="仿宋_GB2312" w:hAnsi="黑体" w:eastAsia="仿宋_GB2312"/>
          <w:sz w:val="32"/>
          <w:szCs w:val="32"/>
        </w:rPr>
        <w:t>、培训费、公务用车运行维护费。</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四、三亚市现代服务业产业园管理委员会（部门）</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outlineLvl w:val="2"/>
        <w:rPr>
          <w:rFonts w:ascii="仿宋_GB2312" w:hAnsi="黑体" w:eastAsia="仿宋_GB2312" w:cs="Times New Roman"/>
          <w:sz w:val="32"/>
          <w:szCs w:val="32"/>
        </w:rPr>
      </w:pPr>
      <w:r>
        <w:rPr>
          <w:rFonts w:hint="eastAsia" w:ascii="仿宋_GB2312" w:hAnsi="黑体" w:eastAsia="仿宋_GB2312"/>
          <w:sz w:val="32"/>
          <w:szCs w:val="32"/>
        </w:rPr>
        <w:t>（一）三亚市现代服务业产业园管理委员会（部门）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4.72</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1.81万</w:t>
      </w:r>
      <w:r>
        <w:rPr>
          <w:rFonts w:hint="eastAsia" w:ascii="仿宋_GB2312" w:hAnsi="黑体" w:eastAsia="仿宋_GB2312"/>
          <w:sz w:val="32"/>
          <w:szCs w:val="32"/>
        </w:rPr>
        <w:t>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w:t>
      </w:r>
      <w:r>
        <w:rPr>
          <w:rFonts w:hint="eastAsia" w:ascii="Times New Roman" w:hAnsi="Times New Roman" w:eastAsia="仿宋_GB2312" w:cs="Times New Roman"/>
          <w:sz w:val="32"/>
          <w:highlight w:val="none"/>
          <w:shd w:val="clear" w:color="auto" w:fill="FFFFFF"/>
        </w:rPr>
        <w:t>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lang w:val="en-US" w:eastAsia="zh-CN"/>
        </w:rPr>
        <w:t>1.81</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w:t>
      </w:r>
      <w:r>
        <w:rPr>
          <w:rFonts w:hint="eastAsia" w:ascii="Times New Roman" w:hAnsi="Times New Roman" w:eastAsia="仿宋_GB2312" w:cs="Times New Roman"/>
          <w:sz w:val="32"/>
          <w:highlight w:val="none"/>
          <w:shd w:val="clear" w:color="auto" w:fill="FFFFFF"/>
        </w:rPr>
        <w:t>公务车保有量</w:t>
      </w:r>
      <w:r>
        <w:rPr>
          <w:rFonts w:hint="eastAsia" w:ascii="仿宋_GB2312" w:hAnsi="黑体" w:eastAsia="仿宋_GB2312" w:cs="仿宋_GB2312"/>
          <w:sz w:val="32"/>
          <w:szCs w:val="32"/>
          <w:highlight w:val="none"/>
          <w:lang w:val="en-US" w:eastAsia="zh-CN"/>
        </w:rPr>
        <w:t>1</w:t>
      </w:r>
      <w:r>
        <w:rPr>
          <w:rFonts w:hint="eastAsia" w:ascii="仿宋_GB2312" w:hAnsi="黑体" w:eastAsia="仿宋_GB2312" w:cs="仿宋_GB2312"/>
          <w:sz w:val="32"/>
          <w:szCs w:val="32"/>
          <w:highlight w:val="none"/>
        </w:rPr>
        <w:t>辆，计划购置</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2.91</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p>
    <w:p>
      <w:pPr>
        <w:numPr>
          <w:ilvl w:val="0"/>
          <w:numId w:val="5"/>
        </w:numPr>
        <w:ind w:firstLine="640" w:firstLineChars="200"/>
        <w:outlineLvl w:val="2"/>
        <w:rPr>
          <w:rFonts w:hint="eastAsia" w:ascii="仿宋_GB2312" w:hAnsi="黑体" w:eastAsia="仿宋_GB2312"/>
          <w:sz w:val="32"/>
          <w:szCs w:val="32"/>
          <w:lang w:eastAsia="zh-CN"/>
        </w:rPr>
      </w:pPr>
      <w:r>
        <w:rPr>
          <w:rFonts w:hint="eastAsia" w:ascii="仿宋_GB2312" w:hAnsi="黑体" w:eastAsia="仿宋_GB2312"/>
          <w:sz w:val="32"/>
          <w:szCs w:val="32"/>
        </w:rPr>
        <w:t>三亚市现代服务业产业园管理委员会（部门）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highlight w:val="none"/>
          <w:shd w:val="clear" w:color="auto" w:fill="FFFFFF"/>
          <w:lang w:eastAsia="zh-CN"/>
        </w:rPr>
      </w:pPr>
      <w:r>
        <w:rPr>
          <w:rFonts w:hint="eastAsia" w:ascii="Times New Roman" w:hAnsi="Times New Roman" w:eastAsia="仿宋_GB2312" w:cs="Times New Roman"/>
          <w:sz w:val="32"/>
          <w:highlight w:val="none"/>
          <w:shd w:val="clear" w:color="auto" w:fill="FFFFFF"/>
        </w:rPr>
        <w:t>因公出国（境）经费</w:t>
      </w:r>
      <w:r>
        <w:rPr>
          <w:rFonts w:hint="eastAsia" w:ascii="Times New Roman" w:hAnsi="Times New Roman" w:eastAsia="仿宋_GB2312" w:cs="Times New Roman"/>
          <w:sz w:val="32"/>
          <w:highlight w:val="none"/>
          <w:shd w:val="clear" w:color="auto" w:fill="FFFFFF"/>
          <w:lang w:val="en-US" w:eastAsia="zh-CN"/>
        </w:rPr>
        <w:t>0.00</w:t>
      </w:r>
      <w:r>
        <w:rPr>
          <w:rFonts w:hint="eastAsia" w:ascii="Times New Roman" w:hAnsi="Times New Roman" w:eastAsia="仿宋_GB2312" w:cs="Times New Roman"/>
          <w:sz w:val="32"/>
          <w:highlight w:val="none"/>
          <w:shd w:val="clear" w:color="auto" w:fill="FFFFFF"/>
        </w:rPr>
        <w:t>万元，与上年预算持平；公务用车购置及运行费</w:t>
      </w:r>
      <w:r>
        <w:rPr>
          <w:rFonts w:hint="eastAsia" w:ascii="Times New Roman" w:hAnsi="Times New Roman" w:eastAsia="仿宋_GB2312" w:cs="Times New Roman"/>
          <w:sz w:val="32"/>
          <w:highlight w:val="none"/>
          <w:shd w:val="clear" w:color="auto" w:fill="FFFFFF"/>
          <w:lang w:val="en-US" w:eastAsia="zh-CN"/>
        </w:rPr>
        <w:t>0.00</w:t>
      </w:r>
      <w:r>
        <w:rPr>
          <w:rFonts w:hint="eastAsia" w:ascii="Times New Roman" w:hAnsi="Times New Roman" w:eastAsia="仿宋_GB2312" w:cs="Times New Roman"/>
          <w:sz w:val="32"/>
          <w:highlight w:val="none"/>
          <w:shd w:val="clear" w:color="auto" w:fill="FFFFFF"/>
        </w:rPr>
        <w:t>万元（其中，公务用车购置费</w:t>
      </w:r>
      <w:r>
        <w:rPr>
          <w:rFonts w:hint="eastAsia" w:ascii="Times New Roman" w:hAnsi="Times New Roman" w:eastAsia="仿宋_GB2312" w:cs="Times New Roman"/>
          <w:sz w:val="32"/>
          <w:highlight w:val="none"/>
          <w:shd w:val="clear" w:color="auto" w:fill="FFFFFF"/>
          <w:lang w:val="en-US" w:eastAsia="zh-CN"/>
        </w:rPr>
        <w:t>0.00</w:t>
      </w:r>
      <w:r>
        <w:rPr>
          <w:rFonts w:hint="eastAsia" w:ascii="Times New Roman" w:hAnsi="Times New Roman" w:eastAsia="仿宋_GB2312" w:cs="Times New Roman"/>
          <w:sz w:val="32"/>
          <w:highlight w:val="none"/>
          <w:shd w:val="clear" w:color="auto" w:fill="FFFFFF"/>
        </w:rPr>
        <w:t>万元，公务用车运行费</w:t>
      </w:r>
      <w:r>
        <w:rPr>
          <w:rFonts w:hint="eastAsia" w:ascii="Times New Roman" w:hAnsi="Times New Roman" w:eastAsia="仿宋_GB2312" w:cs="Times New Roman"/>
          <w:sz w:val="32"/>
          <w:highlight w:val="none"/>
          <w:shd w:val="clear" w:color="auto" w:fill="FFFFFF"/>
          <w:lang w:val="en-US" w:eastAsia="zh-CN"/>
        </w:rPr>
        <w:t>0.00</w:t>
      </w:r>
      <w:r>
        <w:rPr>
          <w:rFonts w:hint="eastAsia" w:ascii="Times New Roman" w:hAnsi="Times New Roman" w:eastAsia="仿宋_GB2312" w:cs="Times New Roman"/>
          <w:sz w:val="32"/>
          <w:highlight w:val="none"/>
          <w:shd w:val="clear" w:color="auto" w:fill="FFFFFF"/>
        </w:rPr>
        <w:t>万元），与上年预算持平</w:t>
      </w:r>
      <w:r>
        <w:rPr>
          <w:rFonts w:hint="eastAsia" w:ascii="Times New Roman" w:hAnsi="Times New Roman" w:eastAsia="仿宋_GB2312" w:cs="Times New Roman"/>
          <w:sz w:val="32"/>
          <w:highlight w:val="none"/>
          <w:shd w:val="clear" w:color="auto" w:fill="FFFFFF"/>
          <w:lang w:eastAsia="zh-CN"/>
        </w:rPr>
        <w:t>；</w:t>
      </w:r>
      <w:r>
        <w:rPr>
          <w:rFonts w:hint="eastAsia" w:ascii="Times New Roman" w:hAnsi="Times New Roman" w:eastAsia="仿宋_GB2312" w:cs="Times New Roman"/>
          <w:sz w:val="32"/>
          <w:highlight w:val="none"/>
          <w:shd w:val="clear" w:color="auto" w:fill="FFFFFF"/>
        </w:rPr>
        <w:t>公务接待费</w:t>
      </w:r>
      <w:r>
        <w:rPr>
          <w:rFonts w:hint="eastAsia" w:ascii="Times New Roman" w:hAnsi="Times New Roman" w:eastAsia="仿宋_GB2312" w:cs="Times New Roman"/>
          <w:sz w:val="32"/>
          <w:highlight w:val="none"/>
          <w:shd w:val="clear" w:color="auto" w:fill="FFFFFF"/>
          <w:lang w:val="en-US" w:eastAsia="zh-CN"/>
        </w:rPr>
        <w:t>0.00</w:t>
      </w:r>
      <w:r>
        <w:rPr>
          <w:rFonts w:hint="eastAsia" w:ascii="Times New Roman" w:hAnsi="Times New Roman" w:eastAsia="仿宋_GB2312" w:cs="Times New Roman"/>
          <w:sz w:val="32"/>
          <w:highlight w:val="none"/>
          <w:shd w:val="clear" w:color="auto" w:fill="FFFFFF"/>
        </w:rPr>
        <w:t>万元，与上年预算持平。</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五、关于三亚市现代服务业产业园管理委员会（部门）</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outlineLvl w:val="2"/>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三亚市现代服务业产业园管理委员会（部门）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lang w:eastAsia="zh-CN"/>
        </w:rPr>
        <w:t>；</w:t>
      </w:r>
      <w:r>
        <w:rPr>
          <w:rFonts w:hint="eastAsia" w:ascii="仿宋_GB2312" w:hAnsi="黑体" w:eastAsia="仿宋_GB2312" w:cs="仿宋_GB2312"/>
          <w:kern w:val="2"/>
          <w:sz w:val="32"/>
          <w:szCs w:val="32"/>
          <w:lang w:val="en-US" w:eastAsia="zh-CN" w:bidi="ar-SA"/>
        </w:rPr>
        <w:t>政府性基金预算上年结转371.37万元，</w:t>
      </w:r>
      <w:r>
        <w:rPr>
          <w:rFonts w:hint="eastAsia" w:ascii="仿宋_GB2312" w:hAnsi="黑体" w:eastAsia="仿宋_GB2312"/>
          <w:sz w:val="32"/>
          <w:szCs w:val="32"/>
        </w:rPr>
        <w:t>比</w:t>
      </w:r>
      <w:r>
        <w:rPr>
          <w:rFonts w:hint="eastAsia" w:ascii="仿宋_GB2312" w:hAnsi="黑体" w:eastAsia="仿宋_GB2312" w:cs="仿宋_GB2312"/>
          <w:kern w:val="2"/>
          <w:sz w:val="32"/>
          <w:szCs w:val="32"/>
          <w:lang w:val="en-US" w:eastAsia="zh-CN" w:bidi="ar-SA"/>
        </w:rPr>
        <w:t>上年结转</w:t>
      </w:r>
      <w:r>
        <w:rPr>
          <w:rFonts w:hint="eastAsia" w:ascii="仿宋_GB2312" w:hAnsi="黑体" w:eastAsia="仿宋_GB2312"/>
          <w:sz w:val="32"/>
          <w:szCs w:val="32"/>
        </w:rPr>
        <w:t>数</w:t>
      </w:r>
      <w:r>
        <w:rPr>
          <w:rFonts w:hint="eastAsia" w:ascii="仿宋_GB2312" w:hAnsi="黑体" w:eastAsia="仿宋_GB2312" w:cs="仿宋_GB2312"/>
          <w:sz w:val="32"/>
          <w:szCs w:val="32"/>
        </w:rPr>
        <w:t>增加</w:t>
      </w:r>
      <w:r>
        <w:rPr>
          <w:rFonts w:hint="eastAsia" w:ascii="仿宋_GB2312" w:hAnsi="黑体" w:eastAsia="仿宋_GB2312" w:cs="仿宋_GB2312"/>
          <w:kern w:val="2"/>
          <w:sz w:val="32"/>
          <w:szCs w:val="32"/>
          <w:lang w:val="en-US" w:eastAsia="zh-CN" w:bidi="ar-SA"/>
        </w:rPr>
        <w:t>371.37万元。</w:t>
      </w:r>
    </w:p>
    <w:p>
      <w:pPr>
        <w:ind w:firstLine="640"/>
        <w:jc w:val="left"/>
        <w:outlineLvl w:val="2"/>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三亚市现代服务业产业园管理委员会（部门）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w:t>
      </w:r>
      <w:r>
        <w:rPr>
          <w:rFonts w:hint="eastAsia" w:ascii="仿宋_GB2312" w:hAnsi="黑体" w:eastAsia="仿宋_GB2312" w:cs="仿宋_GB2312"/>
          <w:kern w:val="2"/>
          <w:sz w:val="32"/>
          <w:szCs w:val="32"/>
          <w:lang w:val="en-US" w:eastAsia="zh-CN" w:bidi="ar-SA"/>
        </w:rPr>
        <w:t>上年结转</w:t>
      </w:r>
      <w:r>
        <w:rPr>
          <w:rFonts w:hint="eastAsia" w:ascii="仿宋_GB2312" w:hAnsi="黑体" w:eastAsia="仿宋_GB2312" w:cs="仿宋_GB2312"/>
          <w:sz w:val="32"/>
          <w:szCs w:val="32"/>
          <w:lang w:val="en-US" w:eastAsia="zh-CN"/>
        </w:rPr>
        <w:t>371.37</w:t>
      </w:r>
      <w:r>
        <w:rPr>
          <w:rFonts w:hint="eastAsia" w:ascii="仿宋_GB2312" w:hAnsi="黑体" w:eastAsia="仿宋_GB2312"/>
          <w:sz w:val="32"/>
          <w:szCs w:val="32"/>
        </w:rPr>
        <w:t>万元</w:t>
      </w:r>
      <w:r>
        <w:rPr>
          <w:rFonts w:hint="eastAsia" w:ascii="仿宋_GB2312" w:hAnsi="黑体" w:eastAsia="仿宋_GB2312" w:cs="仿宋_GB2312"/>
          <w:kern w:val="2"/>
          <w:sz w:val="32"/>
          <w:szCs w:val="32"/>
          <w:lang w:val="en-US" w:eastAsia="zh-CN" w:bidi="ar-SA"/>
        </w:rPr>
        <w:t>用款结构：</w:t>
      </w:r>
      <w:r>
        <w:rPr>
          <w:rFonts w:hint="eastAsia" w:ascii="仿宋_GB2312" w:hAnsi="黑体" w:eastAsia="仿宋_GB2312" w:cs="仿宋_GB2312"/>
          <w:sz w:val="32"/>
          <w:szCs w:val="32"/>
        </w:rPr>
        <w:t>城乡社区支出（类）支出</w:t>
      </w:r>
      <w:r>
        <w:rPr>
          <w:rFonts w:hint="eastAsia" w:ascii="仿宋_GB2312" w:hAnsi="黑体" w:eastAsia="仿宋_GB2312" w:cs="仿宋_GB2312"/>
          <w:sz w:val="32"/>
          <w:szCs w:val="32"/>
          <w:lang w:val="en-US" w:eastAsia="zh-CN"/>
        </w:rPr>
        <w:t>371.37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p>
    <w:p>
      <w:pPr>
        <w:ind w:firstLine="640"/>
        <w:jc w:val="left"/>
        <w:outlineLvl w:val="2"/>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sz w:val="32"/>
          <w:szCs w:val="32"/>
        </w:rPr>
        <w:t>三亚市现代服务业产业园管理委员会（部门）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年政府性基金预算</w:t>
      </w:r>
      <w:r>
        <w:rPr>
          <w:rFonts w:hint="eastAsia" w:ascii="仿宋_GB2312" w:hAnsi="黑体" w:eastAsia="仿宋_GB2312" w:cs="仿宋_GB2312"/>
          <w:kern w:val="2"/>
          <w:sz w:val="32"/>
          <w:szCs w:val="32"/>
          <w:lang w:val="en-US" w:eastAsia="zh-CN" w:bidi="ar-SA"/>
        </w:rPr>
        <w:t>上年结转</w:t>
      </w:r>
      <w:r>
        <w:rPr>
          <w:rFonts w:hint="eastAsia" w:ascii="仿宋_GB2312" w:hAnsi="黑体" w:eastAsia="仿宋_GB2312" w:cs="仿宋_GB2312"/>
          <w:sz w:val="32"/>
          <w:szCs w:val="32"/>
          <w:lang w:val="en-US" w:eastAsia="zh-CN"/>
        </w:rPr>
        <w:t>371.</w:t>
      </w:r>
      <w:r>
        <w:rPr>
          <w:rFonts w:hint="eastAsia" w:ascii="仿宋_GB2312" w:hAnsi="黑体" w:eastAsia="仿宋_GB2312"/>
          <w:sz w:val="32"/>
          <w:szCs w:val="32"/>
          <w:lang w:val="en-US" w:eastAsia="zh-CN"/>
        </w:rPr>
        <w:t>37</w:t>
      </w:r>
      <w:r>
        <w:rPr>
          <w:rFonts w:hint="eastAsia" w:ascii="仿宋_GB2312" w:hAnsi="黑体" w:eastAsia="仿宋_GB2312"/>
          <w:sz w:val="32"/>
          <w:szCs w:val="32"/>
        </w:rPr>
        <w:t>万具体使用情况</w:t>
      </w:r>
      <w:r>
        <w:rPr>
          <w:rFonts w:hint="eastAsia" w:ascii="仿宋_GB2312" w:hAnsi="黑体" w:eastAsia="仿宋_GB2312"/>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1.城乡社区支出（类）国有土地使用权出让收入安排的支出（款）城市建设支出（项）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371.</w:t>
      </w:r>
      <w:r>
        <w:rPr>
          <w:rFonts w:hint="eastAsia" w:ascii="仿宋_GB2312" w:hAnsi="黑体" w:eastAsia="仿宋_GB2312"/>
          <w:sz w:val="32"/>
          <w:szCs w:val="32"/>
          <w:lang w:val="en-US" w:eastAsia="zh-CN"/>
        </w:rPr>
        <w:t>37</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0.00万元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371.</w:t>
      </w:r>
      <w:r>
        <w:rPr>
          <w:rFonts w:hint="eastAsia" w:ascii="仿宋_GB2312" w:hAnsi="黑体" w:eastAsia="仿宋_GB2312"/>
          <w:sz w:val="32"/>
          <w:szCs w:val="32"/>
          <w:lang w:val="en-US" w:eastAsia="zh-CN"/>
        </w:rPr>
        <w:t>37</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六、关于三亚市现代服务业产业园管理委员会（部门）</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三亚市现代服务业产业园管理委员会</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所有收入和支出均纳入部门预算管理。收入包括：一般公共预算收入、政府性基金收入</w:t>
      </w:r>
      <w:r>
        <w:rPr>
          <w:rFonts w:hint="eastAsia" w:ascii="仿宋_GB2312" w:hAnsi="黑体" w:eastAsia="仿宋_GB2312"/>
          <w:sz w:val="32"/>
          <w:szCs w:val="32"/>
        </w:rPr>
        <w:t>；支出包括：一般公共服务支出、社会保障和就业支出、卫生健康支出、城乡社区支出、住房保障支出。三亚市现代服务业产业园管理委员会</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年收支总预算4,411.16</w:t>
      </w:r>
      <w:r>
        <w:rPr>
          <w:rFonts w:hint="eastAsia" w:ascii="仿宋_GB2312" w:hAnsi="黑体" w:eastAsia="仿宋_GB2312"/>
          <w:sz w:val="32"/>
          <w:szCs w:val="32"/>
          <w:highlight w:val="none"/>
        </w:rPr>
        <w:t>万元</w:t>
      </w:r>
      <w:r>
        <w:rPr>
          <w:rFonts w:hint="eastAsia" w:ascii="仿宋_GB2312" w:hAnsi="黑体" w:eastAsia="仿宋_GB2312"/>
          <w:sz w:val="32"/>
          <w:szCs w:val="32"/>
        </w:rPr>
        <w:t>。</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七、关于三亚市现代服务业产业园管理委员会（部门）</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三亚市现代服务业产业园管理委员会</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2,205.58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371.37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16.84</w:t>
      </w:r>
      <w:r>
        <w:rPr>
          <w:rFonts w:hint="eastAsia" w:ascii="仿宋_GB2312" w:hAnsi="黑体" w:eastAsia="仿宋_GB2312"/>
          <w:sz w:val="32"/>
          <w:szCs w:val="32"/>
        </w:rPr>
        <w:t>%；一般公共预算拨款收入</w:t>
      </w:r>
      <w:r>
        <w:rPr>
          <w:rFonts w:hint="eastAsia" w:ascii="仿宋_GB2312" w:hAnsi="黑体" w:eastAsia="仿宋_GB2312" w:cs="仿宋_GB2312"/>
          <w:sz w:val="32"/>
          <w:szCs w:val="32"/>
          <w:lang w:val="en-US" w:eastAsia="zh-CN"/>
        </w:rPr>
        <w:t>1,834.22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83.16</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1,588.13万元</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增加</w:t>
      </w:r>
      <w:r>
        <w:rPr>
          <w:rFonts w:hint="eastAsia" w:ascii="仿宋_GB2312" w:hAnsi="黑体" w:eastAsia="仿宋_GB2312" w:cs="仿宋_GB2312"/>
          <w:sz w:val="32"/>
          <w:szCs w:val="32"/>
          <w:lang w:val="en-US" w:eastAsia="zh-CN"/>
        </w:rPr>
        <w:t>617.45</w:t>
      </w:r>
      <w:r>
        <w:rPr>
          <w:rFonts w:hint="eastAsia" w:ascii="仿宋_GB2312" w:hAnsi="黑体" w:eastAsia="仿宋_GB2312"/>
          <w:sz w:val="32"/>
          <w:szCs w:val="32"/>
          <w:highlight w:val="none"/>
        </w:rPr>
        <w:t>万元。</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八、关于三亚市现代服务业产业园管理委员会（部门）</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三亚市现代服务业产业园管理委员会</w:t>
      </w:r>
      <w:r>
        <w:rPr>
          <w:rFonts w:hint="eastAsia" w:ascii="仿宋_GB2312" w:hAnsi="黑体" w:eastAsia="仿宋_GB2312" w:cs="仿宋_GB2312"/>
          <w:sz w:val="32"/>
          <w:szCs w:val="32"/>
        </w:rPr>
        <w:t>（部门）</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kern w:val="2"/>
          <w:sz w:val="32"/>
          <w:szCs w:val="32"/>
          <w:lang w:val="en-US" w:eastAsia="zh-CN" w:bidi="ar-SA"/>
        </w:rPr>
        <w:t>2,205.58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634.22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28.76</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1,571.37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71.25</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1,587.73万元</w:t>
      </w:r>
      <w:r>
        <w:rPr>
          <w:rFonts w:hint="eastAsia" w:ascii="仿宋_GB2312" w:hAnsi="黑体" w:eastAsia="仿宋_GB2312"/>
          <w:sz w:val="32"/>
          <w:szCs w:val="32"/>
          <w:lang w:eastAsia="zh-CN"/>
        </w:rPr>
        <w:t>）</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617.85</w:t>
      </w:r>
      <w:r>
        <w:rPr>
          <w:rFonts w:hint="eastAsia" w:ascii="仿宋_GB2312" w:hAnsi="黑体" w:eastAsia="仿宋_GB2312"/>
          <w:sz w:val="32"/>
          <w:szCs w:val="32"/>
        </w:rPr>
        <w:t>万元。</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outlineLvl w:val="1"/>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outlineLvl w:val="2"/>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年三亚市现代服务业产业园管理委员会</w:t>
      </w:r>
      <w:r>
        <w:rPr>
          <w:rFonts w:hint="eastAsia" w:ascii="仿宋_GB2312" w:hAnsi="黑体" w:eastAsia="仿宋_GB2312" w:cs="仿宋_GB2312"/>
          <w:sz w:val="32"/>
          <w:szCs w:val="32"/>
        </w:rPr>
        <w:t>（部门）本级的机关运行经费预算</w:t>
      </w:r>
      <w:r>
        <w:rPr>
          <w:rFonts w:hint="eastAsia" w:ascii="仿宋_GB2312" w:hAnsi="黑体" w:eastAsia="仿宋_GB2312" w:cs="仿宋_GB2312"/>
          <w:sz w:val="32"/>
          <w:szCs w:val="32"/>
          <w:lang w:val="en-US" w:eastAsia="zh-CN"/>
        </w:rPr>
        <w:t>46.17</w:t>
      </w:r>
      <w:r>
        <w:rPr>
          <w:rFonts w:hint="eastAsia" w:ascii="仿宋_GB2312" w:hAnsi="黑体" w:eastAsia="仿宋_GB2312"/>
          <w:sz w:val="32"/>
          <w:szCs w:val="32"/>
        </w:rPr>
        <w:t>万元。</w:t>
      </w:r>
    </w:p>
    <w:p>
      <w:pPr>
        <w:ind w:firstLine="640" w:firstLineChars="200"/>
        <w:outlineLvl w:val="2"/>
        <w:rPr>
          <w:rFonts w:ascii="楷体" w:hAnsi="楷体" w:eastAsia="楷体"/>
          <w:sz w:val="32"/>
          <w:szCs w:val="32"/>
        </w:rPr>
      </w:pPr>
      <w:r>
        <w:rPr>
          <w:rFonts w:hint="eastAsia" w:ascii="楷体" w:hAnsi="楷体" w:eastAsia="楷体"/>
          <w:sz w:val="32"/>
          <w:szCs w:val="32"/>
        </w:rPr>
        <w:t>（二）政府采购情况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val="en-US" w:eastAsia="zh-CN"/>
        </w:rPr>
        <w:t>2021</w:t>
      </w:r>
      <w:r>
        <w:rPr>
          <w:rFonts w:hint="eastAsia" w:ascii="仿宋_GB2312" w:hAnsi="黑体" w:eastAsia="仿宋_GB2312"/>
          <w:sz w:val="32"/>
          <w:szCs w:val="32"/>
        </w:rPr>
        <w:t>年三亚市现代服务业产业园管理委员会</w:t>
      </w:r>
      <w:r>
        <w:rPr>
          <w:rFonts w:hint="eastAsia" w:ascii="仿宋_GB2312" w:hAnsi="黑体" w:eastAsia="仿宋_GB2312"/>
          <w:sz w:val="32"/>
          <w:szCs w:val="32"/>
          <w:lang w:eastAsia="zh-CN"/>
        </w:rPr>
        <w:t>（部门）</w:t>
      </w:r>
      <w:r>
        <w:rPr>
          <w:rFonts w:hint="eastAsia" w:ascii="仿宋_GB2312" w:hAnsi="黑体" w:eastAsia="仿宋_GB2312"/>
          <w:sz w:val="32"/>
          <w:szCs w:val="32"/>
        </w:rPr>
        <w:t>政府采购预算总额</w:t>
      </w:r>
      <w:r>
        <w:rPr>
          <w:rFonts w:hint="eastAsia" w:ascii="仿宋_GB2312" w:hAnsi="黑体" w:eastAsia="仿宋_GB2312"/>
          <w:sz w:val="32"/>
          <w:szCs w:val="32"/>
          <w:lang w:val="en-US" w:eastAsia="zh-CN"/>
        </w:rPr>
        <w:t>0.00</w:t>
      </w:r>
      <w:r>
        <w:rPr>
          <w:rFonts w:hint="eastAsia" w:ascii="仿宋_GB2312" w:hAnsi="黑体" w:eastAsia="仿宋_GB2312"/>
          <w:sz w:val="32"/>
          <w:szCs w:val="32"/>
        </w:rPr>
        <w:t>万元。</w:t>
      </w:r>
    </w:p>
    <w:p>
      <w:pPr>
        <w:ind w:firstLine="640" w:firstLineChars="200"/>
        <w:outlineLvl w:val="2"/>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年12月31日，三亚市现代服务业产业园管理委员会</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outlineLvl w:val="2"/>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年三亚市现代服务业产业园管理委员会</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1,834.24</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0.00</w:t>
      </w:r>
      <w:r>
        <w:rPr>
          <w:rFonts w:hint="eastAsia" w:ascii="仿宋_GB2312" w:hAnsi="黑体" w:eastAsia="仿宋_GB2312"/>
          <w:sz w:val="32"/>
          <w:szCs w:val="32"/>
        </w:rPr>
        <w:t>万元。</w:t>
      </w:r>
    </w:p>
    <w:p>
      <w:pPr>
        <w:pStyle w:val="6"/>
        <w:keepNext w:val="0"/>
        <w:keepLines w:val="0"/>
        <w:pageBreakBefore w:val="0"/>
        <w:widowControl w:val="0"/>
        <w:numPr>
          <w:ilvl w:val="0"/>
          <w:numId w:val="0"/>
        </w:numPr>
        <w:kinsoku/>
        <w:wordWrap/>
        <w:overflowPunct/>
        <w:topLinePunct w:val="0"/>
        <w:autoSpaceDE/>
        <w:autoSpaceDN/>
        <w:bidi w:val="0"/>
        <w:adjustRightInd/>
        <w:snapToGrid/>
        <w:ind w:leftChars="0"/>
        <w:jc w:val="center"/>
        <w:textAlignment w:val="auto"/>
        <w:outlineLvl w:val="0"/>
        <w:rPr>
          <w:rFonts w:hint="eastAsia" w:ascii="黑体" w:hAnsi="黑体" w:eastAsia="黑体"/>
          <w:sz w:val="32"/>
          <w:szCs w:val="32"/>
        </w:rPr>
      </w:pPr>
      <w:r>
        <w:rPr>
          <w:rFonts w:hint="eastAsia" w:ascii="黑体" w:hAnsi="黑体" w:eastAsia="黑体"/>
          <w:sz w:val="32"/>
          <w:szCs w:val="32"/>
          <w:lang w:val="en-US" w:eastAsia="zh-CN"/>
        </w:rPr>
        <w:t xml:space="preserve">第四部分  </w:t>
      </w:r>
      <w:r>
        <w:rPr>
          <w:rFonts w:hint="eastAsia" w:ascii="黑体" w:hAnsi="黑体" w:eastAsia="黑体"/>
          <w:sz w:val="32"/>
          <w:szCs w:val="32"/>
        </w:rPr>
        <w:t>名词解释</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both"/>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A1"/>
    <w:family w:val="auto"/>
    <w:pitch w:val="default"/>
    <w:sig w:usb0="00000000" w:usb1="00000000"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DF9C35"/>
    <w:multiLevelType w:val="multilevel"/>
    <w:tmpl w:val="CDDF9C35"/>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8477191"/>
    <w:multiLevelType w:val="singleLevel"/>
    <w:tmpl w:val="48477191"/>
    <w:lvl w:ilvl="0" w:tentative="0">
      <w:start w:val="2"/>
      <w:numFmt w:val="chineseCounting"/>
      <w:suff w:val="nothing"/>
      <w:lvlText w:val="（%1）"/>
      <w:lvlJc w:val="left"/>
      <w:rPr>
        <w:rFonts w:hint="eastAsia"/>
      </w:r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yNjlkMGRkYmYwNGQ3NDVkYzVjNGI1ZTM1ZjcwOWMifQ=="/>
  </w:docVars>
  <w:rsids>
    <w:rsidRoot w:val="00000000"/>
    <w:rsid w:val="11355059"/>
    <w:rsid w:val="12DE6F6D"/>
    <w:rsid w:val="2C6106B8"/>
    <w:rsid w:val="2C721DD4"/>
    <w:rsid w:val="39961510"/>
    <w:rsid w:val="40C4054D"/>
    <w:rsid w:val="44D44ADC"/>
    <w:rsid w:val="56A7917D"/>
    <w:rsid w:val="5835294B"/>
    <w:rsid w:val="5CFF465C"/>
    <w:rsid w:val="60AE2C1F"/>
    <w:rsid w:val="682C4391"/>
    <w:rsid w:val="6AF10850"/>
    <w:rsid w:val="717671F5"/>
    <w:rsid w:val="781D2946"/>
    <w:rsid w:val="7DEBCAF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16</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user</cp:lastModifiedBy>
  <dcterms:modified xsi:type="dcterms:W3CDTF">2023-10-07T08:45:08Z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CBECC3B8BD86453C96C3A6A4C955024E</vt:lpwstr>
  </property>
</Properties>
</file>