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ascii="方正小标宋简体" w:hAnsi="方正小标宋简体" w:eastAsia="方正小标宋简体" w:cs="方正小标宋简体"/>
          <w:sz w:val="52"/>
          <w:szCs w:val="52"/>
          <w:lang w:val="en-US" w:eastAsia="zh-CN"/>
        </w:rPr>
        <w:t>2022</w:t>
      </w:r>
      <w:r>
        <w:rPr>
          <w:rFonts w:hint="eastAsia" w:ascii="方正小标宋简体" w:hAnsi="方正小标宋简体" w:eastAsia="方正小标宋简体" w:cs="方正小标宋简体"/>
          <w:sz w:val="52"/>
          <w:szCs w:val="52"/>
        </w:rPr>
        <w:t>年</w:t>
      </w:r>
      <w:r>
        <w:rPr>
          <w:rFonts w:hint="eastAsia" w:ascii="方正小标宋简体" w:hAnsi="方正小标宋简体" w:eastAsia="方正小标宋简体" w:cs="方正小标宋简体"/>
          <w:sz w:val="52"/>
          <w:szCs w:val="52"/>
          <w:lang w:eastAsia="zh-CN"/>
        </w:rPr>
        <w:t>三亚市菜篮子工程管理服务中心</w:t>
      </w:r>
      <w:r>
        <w:rPr>
          <w:rFonts w:hint="eastAsia" w:ascii="方正小标宋简体" w:hAnsi="方正小标宋简体" w:eastAsia="方正小标宋简体" w:cs="方正小标宋简体"/>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cs="黑体"/>
          <w:sz w:val="32"/>
          <w:szCs w:val="32"/>
          <w:lang w:eastAsia="zh-CN"/>
        </w:rPr>
        <w:t>三亚市菜篮子工程管理服务中心</w:t>
      </w:r>
      <w:r>
        <w:rPr>
          <w:rFonts w:hint="eastAsia" w:ascii="黑体" w:hAnsi="黑体" w:eastAsia="黑体"/>
          <w:sz w:val="32"/>
          <w:szCs w:val="32"/>
        </w:rPr>
        <w:t>概况</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sz w:val="32"/>
          <w:szCs w:val="32"/>
        </w:rPr>
      </w:pPr>
      <w:r>
        <w:rPr>
          <w:rFonts w:hint="eastAsia" w:ascii="黑体" w:hAnsi="黑体" w:eastAsia="黑体"/>
          <w:sz w:val="32"/>
          <w:szCs w:val="32"/>
          <w:lang w:val="en-US" w:eastAsia="zh-CN"/>
        </w:rPr>
        <w:t xml:space="preserve">    </w:t>
      </w:r>
      <w:r>
        <w:rPr>
          <w:rFonts w:hint="eastAsia" w:ascii="仿宋" w:hAnsi="仿宋" w:eastAsia="仿宋" w:cs="仿宋"/>
          <w:sz w:val="32"/>
          <w:szCs w:val="32"/>
          <w:lang w:eastAsia="zh-CN"/>
        </w:rPr>
        <w:t>一、</w:t>
      </w:r>
      <w:r>
        <w:rPr>
          <w:rFonts w:hint="eastAsia" w:ascii="仿宋" w:hAnsi="仿宋" w:eastAsia="仿宋" w:cs="仿宋"/>
          <w:sz w:val="32"/>
          <w:szCs w:val="32"/>
        </w:rPr>
        <w:t>主要职能</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二、</w:t>
      </w:r>
      <w:r>
        <w:rPr>
          <w:rFonts w:hint="eastAsia" w:ascii="仿宋" w:hAnsi="仿宋" w:eastAsia="仿宋" w:cs="仿宋"/>
          <w:sz w:val="32"/>
          <w:szCs w:val="32"/>
        </w:rPr>
        <w:t>部门预算单位构成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三亚市菜篮子工程管理服务中心</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sz w:val="32"/>
          <w:szCs w:val="32"/>
        </w:rPr>
      </w:pPr>
      <w:r>
        <w:rPr>
          <w:rFonts w:hint="eastAsia" w:ascii="仿宋_GB2312" w:hAnsi="仿宋_GB2312" w:eastAsia="仿宋_GB2312" w:cs="仿宋_GB2312"/>
          <w:sz w:val="32"/>
          <w:szCs w:val="32"/>
          <w:lang w:eastAsia="zh-CN"/>
        </w:rPr>
        <w:t>单位</w:t>
      </w:r>
      <w:bookmarkStart w:id="0" w:name="_GoBack"/>
      <w:bookmarkEnd w:id="0"/>
      <w:r>
        <w:rPr>
          <w:rFonts w:hint="eastAsia" w:ascii="仿宋_GB2312" w:hAnsi="仿宋_GB2312" w:eastAsia="仿宋_GB2312" w:cs="仿宋_GB2312"/>
          <w:sz w:val="32"/>
          <w:szCs w:val="32"/>
        </w:rPr>
        <w:t>支出总表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三亚市菜篮子工程管理服务中心</w:t>
      </w:r>
      <w:r>
        <w:rPr>
          <w:rFonts w:hint="eastAsia" w:ascii="黑体" w:hAnsi="黑体" w:eastAsia="黑体"/>
          <w:sz w:val="32"/>
          <w:szCs w:val="32"/>
          <w:lang w:val="en-US" w:eastAsia="zh-CN"/>
        </w:rPr>
        <w:t>2022</w:t>
      </w:r>
      <w:r>
        <w:rPr>
          <w:rFonts w:hint="eastAsia" w:ascii="黑体" w:hAnsi="黑体" w:eastAsia="黑体"/>
          <w:sz w:val="32"/>
          <w:szCs w:val="32"/>
        </w:rPr>
        <w:t>年部门（单位）预算情况说明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三亚市菜篮子工程管理服务中心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（一）负责全市菜篮子工程及保供稳价信息管理工作；</w:t>
      </w:r>
    </w:p>
    <w:p>
      <w:pPr>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（二）负责菜篮子保供稳价和菜篮子工程建设等相关管理服务工作；</w:t>
      </w:r>
    </w:p>
    <w:p>
      <w:pPr>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（三）承办上级部门交办的其他工作。</w:t>
      </w:r>
    </w:p>
    <w:p>
      <w:pPr>
        <w:pStyle w:val="4"/>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二、</w:t>
      </w:r>
      <w:r>
        <w:rPr>
          <w:rFonts w:hint="eastAsia" w:ascii="黑体" w:hAnsi="黑体" w:eastAsia="黑体" w:cs="仿宋_GB2312"/>
          <w:sz w:val="32"/>
          <w:szCs w:val="32"/>
        </w:rPr>
        <w:t>预算单位构成</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三亚市菜篮子工程管理服务中心为公益一类正科级事业单位，纳入三亚市发展和改革委员会2021年部门预算编制范围的二级预算单位。中心内设办公室、稳价协调组、综合计划组、审核统计组、稽查巡查组、信息监管组等六个内设组（室）。</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三亚市菜篮子工程管理服务中心</w:t>
      </w:r>
      <w:r>
        <w:rPr>
          <w:rFonts w:hint="eastAsia" w:ascii="黑体" w:hAnsi="黑体" w:eastAsia="黑体"/>
          <w:sz w:val="32"/>
          <w:szCs w:val="32"/>
          <w:lang w:val="en-US" w:eastAsia="zh-CN"/>
        </w:rPr>
        <w:t>2021</w:t>
      </w:r>
      <w:r>
        <w:rPr>
          <w:rFonts w:hint="eastAsia" w:ascii="黑体" w:hAnsi="黑体" w:eastAsia="黑体"/>
          <w:sz w:val="32"/>
          <w:szCs w:val="32"/>
        </w:rPr>
        <w:t>年部门（单位）预算表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三亚市菜篮子工程管理服务中心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年部门（单位）预算情况说明</w:t>
      </w:r>
    </w:p>
    <w:p>
      <w:pPr>
        <w:ind w:firstLine="640" w:firstLineChars="200"/>
        <w:jc w:val="left"/>
        <w:rPr>
          <w:rFonts w:hint="eastAsia" w:ascii="黑体" w:hAnsi="黑体" w:eastAsia="黑体" w:cs="黑体"/>
          <w:sz w:val="32"/>
          <w:szCs w:val="32"/>
        </w:rPr>
      </w:pPr>
      <w:r>
        <w:rPr>
          <w:rFonts w:hint="eastAsia" w:ascii="黑体" w:hAnsi="黑体" w:eastAsia="黑体"/>
          <w:sz w:val="32"/>
          <w:szCs w:val="32"/>
        </w:rPr>
        <w:t>一、</w:t>
      </w:r>
      <w:r>
        <w:rPr>
          <w:rFonts w:hint="eastAsia" w:ascii="黑体" w:hAnsi="黑体" w:eastAsia="黑体" w:cs="黑体"/>
          <w:sz w:val="32"/>
          <w:szCs w:val="32"/>
        </w:rPr>
        <w:t>关于</w:t>
      </w:r>
      <w:r>
        <w:rPr>
          <w:rFonts w:hint="eastAsia" w:ascii="黑体" w:hAnsi="黑体" w:eastAsia="黑体" w:cs="黑体"/>
          <w:sz w:val="32"/>
          <w:szCs w:val="32"/>
          <w:lang w:eastAsia="zh-CN"/>
        </w:rPr>
        <w:t>三亚市菜篮子工程管理服务中心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三亚市菜篮子工程管理服务中心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645.39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427.47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427.47</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217.92</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645.39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469.02</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35.06</w:t>
      </w:r>
      <w:r>
        <w:rPr>
          <w:rFonts w:hint="eastAsia" w:ascii="仿宋_GB2312" w:hAnsi="黑体" w:eastAsia="仿宋_GB2312"/>
          <w:sz w:val="32"/>
          <w:szCs w:val="32"/>
        </w:rPr>
        <w:t>万元、 卫生健康支出</w:t>
      </w:r>
      <w:r>
        <w:rPr>
          <w:rFonts w:hint="eastAsia" w:ascii="仿宋_GB2312" w:hAnsi="黑体" w:eastAsia="仿宋_GB2312" w:cs="仿宋_GB2312"/>
          <w:sz w:val="32"/>
          <w:szCs w:val="32"/>
          <w:lang w:val="en-US" w:eastAsia="zh-CN"/>
        </w:rPr>
        <w:t>34.08</w:t>
      </w:r>
      <w:r>
        <w:rPr>
          <w:rFonts w:hint="eastAsia" w:ascii="仿宋_GB2312" w:hAnsi="黑体" w:eastAsia="仿宋_GB2312"/>
          <w:sz w:val="32"/>
          <w:szCs w:val="32"/>
        </w:rPr>
        <w:t>万元、  农林水支出90</w:t>
      </w:r>
      <w:r>
        <w:rPr>
          <w:rFonts w:hint="eastAsia" w:ascii="仿宋_GB2312" w:hAnsi="黑体" w:eastAsia="仿宋_GB2312"/>
          <w:sz w:val="32"/>
          <w:szCs w:val="32"/>
          <w:lang w:eastAsia="zh-CN"/>
        </w:rPr>
        <w:t>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17.22万元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三亚市菜篮子工程管理服务中心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三亚市菜篮子工程管理服务中心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645.39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244.54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省划拨农贸市场平价菜零售保险市场信息化改造费用。</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469.02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72.67</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35.06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5.43</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34.08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5.28</w:t>
      </w:r>
      <w:r>
        <w:rPr>
          <w:rFonts w:hint="eastAsia" w:ascii="仿宋_GB2312" w:hAnsi="黑体" w:eastAsia="仿宋_GB2312"/>
          <w:sz w:val="32"/>
          <w:szCs w:val="32"/>
        </w:rPr>
        <w:t>%、  农林水支出90</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13.95</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17.22万元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2.67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1.一般公共服务（类）发展与改革事务（款）</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341.1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10.12</w:t>
      </w:r>
      <w:r>
        <w:rPr>
          <w:rFonts w:hint="eastAsia" w:ascii="仿宋_GB2312" w:hAnsi="黑体" w:eastAsia="仿宋_GB2312"/>
          <w:sz w:val="32"/>
          <w:szCs w:val="32"/>
        </w:rPr>
        <w:t>万元，主</w:t>
      </w:r>
      <w:r>
        <w:rPr>
          <w:rFonts w:hint="eastAsia" w:ascii="仿宋_GB2312" w:hAnsi="黑体" w:eastAsia="仿宋_GB2312"/>
          <w:sz w:val="32"/>
          <w:szCs w:val="32"/>
          <w:lang w:eastAsia="zh-CN"/>
        </w:rPr>
        <w:t>要原因是</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一般公共服务（类）发展与改革事务（款）事业运行（项）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253.1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8.12</w:t>
      </w:r>
      <w:r>
        <w:rPr>
          <w:rFonts w:hint="eastAsia" w:ascii="仿宋_GB2312" w:hAnsi="黑体" w:eastAsia="仿宋_GB2312"/>
          <w:sz w:val="32"/>
          <w:szCs w:val="32"/>
        </w:rPr>
        <w:t>万元，主要是省划拨农贸市场平价菜零售保险市场信息化改造费用</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一般公共服务（类）发展与改革事务（款）其他发展与改革事务支出（项）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88.00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一般公共服务（类）商贸事务（款）国内贸易管理（项）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127.92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省划拨农贸市场平价菜零售保险市场信息化改造费用</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5.社会保障和就业支出（类）行政事业单位养老支出（款）机关事业单位基本养老保险缴费支出22.06万元，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单位“撤并调优”工作未完成，年度正常晋升工资未调整。</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6.社会保障和就业支出（类）行政事业单位养老支出（款）机关事业单位职业年金缴费支出支出13.00万元，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13.00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增加此项年度预算。</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rPr>
        <w:t>卫生健康支出（类）行政事业单位医疗（款）事业单位医疗（项）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11.72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，主要是单位“撤并调优”工作未完成，年度正常晋升工资未调整</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22.35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3.5万元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退休人员公补基数调整。</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.农林水支出（类）其他农林水支出（款）其他农林水支出</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90.00万元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90.00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新增项目。</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17.22万</w:t>
      </w:r>
      <w:r>
        <w:rPr>
          <w:rFonts w:hint="eastAsia" w:ascii="仿宋_GB2312" w:hAnsi="黑体" w:eastAsia="仿宋_GB2312"/>
          <w:sz w:val="32"/>
          <w:szCs w:val="32"/>
        </w:rPr>
        <w:t>元，比上年预算数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，主要是单位“撤并调优”工作未完成，年度正常晋升工资未调整</w:t>
      </w:r>
      <w:r>
        <w:rPr>
          <w:rFonts w:hint="eastAsia" w:ascii="仿宋_GB2312" w:hAnsi="黑体" w:eastAsia="仿宋_GB2312"/>
          <w:sz w:val="32"/>
          <w:szCs w:val="32"/>
          <w:lang w:eastAsia="zh-CN"/>
        </w:rPr>
        <w:t>。</w:t>
      </w:r>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三亚市菜篮子工程管理服务中心</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三亚市菜篮子工程管理服务中心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339.47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312.92</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r>
        <w:rPr>
          <w:rFonts w:hint="eastAsia" w:ascii="仿宋_GB2312" w:hAnsi="黑体" w:eastAsia="仿宋_GB2312"/>
          <w:sz w:val="32"/>
          <w:szCs w:val="32"/>
        </w:rPr>
        <w:t>津贴补贴</w:t>
      </w:r>
      <w:r>
        <w:rPr>
          <w:rFonts w:hint="eastAsia" w:ascii="仿宋_GB2312" w:hAnsi="黑体" w:eastAsia="仿宋_GB2312"/>
          <w:sz w:val="32"/>
          <w:szCs w:val="32"/>
          <w:lang w:eastAsia="zh-CN"/>
        </w:rPr>
        <w:t>、</w:t>
      </w:r>
      <w:r>
        <w:rPr>
          <w:rFonts w:hint="eastAsia" w:ascii="仿宋_GB2312" w:hAnsi="黑体" w:eastAsia="仿宋_GB2312"/>
          <w:sz w:val="32"/>
          <w:szCs w:val="32"/>
        </w:rPr>
        <w:t>绩效工资</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城镇职工基本医疗保险缴费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rPr>
        <w:t>其他工资福利支出;</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26.55</w:t>
      </w:r>
      <w:r>
        <w:rPr>
          <w:rFonts w:hint="eastAsia" w:ascii="仿宋_GB2312" w:hAnsi="黑体" w:eastAsia="仿宋_GB2312"/>
          <w:sz w:val="32"/>
          <w:szCs w:val="32"/>
        </w:rPr>
        <w:t>万元，主要包括：工资福利支出</w:t>
      </w:r>
      <w:r>
        <w:rPr>
          <w:rFonts w:hint="eastAsia" w:ascii="仿宋_GB2312" w:hAnsi="黑体" w:eastAsia="仿宋_GB2312"/>
          <w:sz w:val="32"/>
          <w:szCs w:val="32"/>
          <w:lang w:eastAsia="zh-CN"/>
        </w:rPr>
        <w:t>、其他社会保障缴费、商品和服务支出、</w:t>
      </w:r>
      <w:r>
        <w:rPr>
          <w:rFonts w:hint="eastAsia" w:ascii="仿宋_GB2312" w:hAnsi="黑体" w:eastAsia="仿宋_GB2312"/>
          <w:sz w:val="32"/>
          <w:szCs w:val="32"/>
        </w:rPr>
        <w:t>办公费</w:t>
      </w:r>
      <w:r>
        <w:rPr>
          <w:rFonts w:hint="eastAsia" w:ascii="仿宋_GB2312" w:hAnsi="黑体" w:eastAsia="仿宋_GB2312"/>
          <w:sz w:val="32"/>
          <w:szCs w:val="32"/>
          <w:lang w:eastAsia="zh-CN"/>
        </w:rPr>
        <w:t>、</w:t>
      </w:r>
      <w:r>
        <w:rPr>
          <w:rFonts w:hint="eastAsia" w:ascii="仿宋_GB2312" w:hAnsi="黑体" w:eastAsia="仿宋_GB2312"/>
          <w:sz w:val="32"/>
          <w:szCs w:val="32"/>
        </w:rPr>
        <w:t>邮电费</w:t>
      </w:r>
      <w:r>
        <w:rPr>
          <w:rFonts w:hint="eastAsia" w:ascii="仿宋_GB2312" w:hAnsi="黑体" w:eastAsia="仿宋_GB2312"/>
          <w:sz w:val="32"/>
          <w:szCs w:val="32"/>
          <w:lang w:eastAsia="zh-CN"/>
        </w:rPr>
        <w:t>、</w:t>
      </w:r>
      <w:r>
        <w:rPr>
          <w:rFonts w:hint="eastAsia" w:ascii="仿宋_GB2312" w:hAnsi="黑体" w:eastAsia="仿宋_GB2312"/>
          <w:sz w:val="32"/>
          <w:szCs w:val="32"/>
        </w:rPr>
        <w:t>培训费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w:t>
      </w:r>
      <w:r>
        <w:rPr>
          <w:rFonts w:hint="eastAsia" w:ascii="仿宋_GB2312" w:hAnsi="黑体" w:eastAsia="仿宋_GB2312"/>
          <w:sz w:val="32"/>
          <w:szCs w:val="32"/>
        </w:rPr>
        <w:t>福利费</w:t>
      </w:r>
      <w:r>
        <w:rPr>
          <w:rFonts w:hint="eastAsia" w:ascii="仿宋_GB2312" w:hAnsi="黑体" w:eastAsia="仿宋_GB2312"/>
          <w:sz w:val="32"/>
          <w:szCs w:val="32"/>
          <w:lang w:eastAsia="zh-CN"/>
        </w:rPr>
        <w:t>、</w:t>
      </w:r>
      <w:r>
        <w:rPr>
          <w:rFonts w:hint="eastAsia" w:ascii="仿宋_GB2312" w:hAnsi="黑体" w:eastAsia="仿宋_GB2312"/>
          <w:sz w:val="32"/>
          <w:szCs w:val="32"/>
        </w:rPr>
        <w:t>公务用车运行维护费</w:t>
      </w:r>
      <w:r>
        <w:rPr>
          <w:rFonts w:hint="eastAsia" w:ascii="仿宋_GB2312" w:hAnsi="黑体" w:eastAsia="仿宋_GB2312"/>
          <w:sz w:val="32"/>
          <w:szCs w:val="32"/>
          <w:lang w:eastAsia="zh-CN"/>
        </w:rPr>
        <w:t>、</w:t>
      </w:r>
      <w:r>
        <w:rPr>
          <w:rFonts w:hint="eastAsia" w:ascii="仿宋_GB2312" w:hAnsi="黑体" w:eastAsia="仿宋_GB2312"/>
          <w:sz w:val="32"/>
          <w:szCs w:val="32"/>
        </w:rPr>
        <w:t>其他商品和服务支出</w:t>
      </w:r>
      <w:r>
        <w:rPr>
          <w:rFonts w:hint="eastAsia" w:ascii="仿宋_GB2312" w:hAnsi="黑体" w:eastAsia="仿宋_GB2312"/>
          <w:sz w:val="32"/>
          <w:szCs w:val="32"/>
          <w:lang w:eastAsia="zh-CN"/>
        </w:rPr>
        <w:t>、</w:t>
      </w:r>
      <w:r>
        <w:rPr>
          <w:rFonts w:hint="eastAsia" w:ascii="仿宋_GB2312" w:hAnsi="黑体" w:eastAsia="仿宋_GB2312"/>
          <w:sz w:val="32"/>
          <w:szCs w:val="32"/>
        </w:rPr>
        <w:t>对个人和家庭的补助</w:t>
      </w:r>
      <w:r>
        <w:rPr>
          <w:rFonts w:hint="eastAsia" w:ascii="仿宋_GB2312" w:hAnsi="黑体" w:eastAsia="仿宋_GB2312"/>
          <w:sz w:val="32"/>
          <w:szCs w:val="32"/>
          <w:lang w:eastAsia="zh-CN"/>
        </w:rPr>
        <w:t>、</w:t>
      </w:r>
      <w:r>
        <w:rPr>
          <w:rFonts w:hint="eastAsia" w:ascii="仿宋_GB2312" w:hAnsi="黑体" w:eastAsia="仿宋_GB2312"/>
          <w:sz w:val="32"/>
          <w:szCs w:val="32"/>
        </w:rPr>
        <w:t>生活补助</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三亚市菜篮子工程管理服务中心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三亚市菜篮子工程管理服务中心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3.30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是本单位没有因公出国（境）的工作业务；</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3.30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3.30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是按相关规定维持上年预算费用。</w:t>
      </w:r>
      <w:r>
        <w:rPr>
          <w:rFonts w:ascii="Times New Roman" w:hAnsi="Times New Roman" w:eastAsia="仿宋_GB2312" w:cs="Times New Roman"/>
          <w:sz w:val="32"/>
          <w:shd w:val="clear" w:color="auto" w:fill="FFFFFF"/>
        </w:rPr>
        <w:t>包括：</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是原单位（三亚市价格调节基金征管办公室）</w:t>
      </w:r>
      <w:r>
        <w:rPr>
          <w:rFonts w:hint="eastAsia" w:ascii="Times New Roman" w:hAnsi="Times New Roman" w:eastAsia="仿宋_GB2312" w:cs="Times New Roman"/>
          <w:sz w:val="32"/>
          <w:shd w:val="clear" w:color="auto" w:fill="FFFFFF"/>
          <w:lang w:val="en-US" w:eastAsia="zh-CN"/>
        </w:rPr>
        <w:t>2017年9月</w:t>
      </w:r>
      <w:r>
        <w:rPr>
          <w:rFonts w:hint="eastAsia" w:ascii="Times New Roman" w:hAnsi="Times New Roman" w:eastAsia="仿宋_GB2312" w:cs="Times New Roman"/>
          <w:sz w:val="32"/>
          <w:shd w:val="clear" w:color="auto" w:fill="FFFFFF"/>
          <w:lang w:eastAsia="zh-CN"/>
        </w:rPr>
        <w:t>更名为三亚市菜篮子工程管理服务中心后，一直未列入公务接待费的预算费用</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三亚市菜篮子工程管理服务中心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：无此经费预算</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：无此经费预算</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：无此经费预算</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三亚市菜篮子工程管理服务中心</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三亚市菜篮子工程管理服务中心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：无此经费预算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：无此经费预算</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：无此经费预算</w:t>
      </w:r>
      <w:r>
        <w:rPr>
          <w:rFonts w:hint="eastAsia" w:ascii="仿宋_GB2312" w:hAnsi="黑体" w:eastAsia="仿宋_GB2312"/>
          <w:sz w:val="32"/>
          <w:szCs w:val="32"/>
        </w:rPr>
        <w:t>。</w:t>
      </w:r>
    </w:p>
    <w:p>
      <w:pPr>
        <w:ind w:firstLine="640" w:firstLineChars="200"/>
        <w:rPr>
          <w:rFonts w:hint="eastAsia" w:ascii="黑体" w:hAnsi="黑体" w:eastAsia="黑体" w:cs="黑体"/>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三亚市菜篮子工程管理服务中心</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三亚市菜篮子工程管理服务中心</w:t>
      </w:r>
      <w:r>
        <w:rPr>
          <w:rFonts w:hint="eastAsia" w:ascii="仿宋_GB2312" w:hAnsi="黑体" w:eastAsia="仿宋_GB2312" w:cs="仿宋_GB2312"/>
          <w:sz w:val="32"/>
          <w:szCs w:val="32"/>
        </w:rPr>
        <w:t>所有收入和支出均纳入部门预算管理。收入</w:t>
      </w:r>
      <w:r>
        <w:rPr>
          <w:rFonts w:hint="eastAsia" w:ascii="仿宋_GB2312" w:hAnsi="黑体" w:eastAsia="仿宋_GB2312" w:cs="仿宋_GB2312"/>
          <w:sz w:val="32"/>
          <w:szCs w:val="32"/>
          <w:lang w:eastAsia="zh-CN"/>
        </w:rPr>
        <w:t>仅有</w:t>
      </w:r>
      <w:r>
        <w:rPr>
          <w:rFonts w:hint="eastAsia" w:ascii="仿宋_GB2312" w:hAnsi="黑体" w:eastAsia="仿宋_GB2312" w:cs="仿宋_GB2312"/>
          <w:sz w:val="32"/>
          <w:szCs w:val="32"/>
        </w:rPr>
        <w:t>一般公共预算收入</w:t>
      </w:r>
      <w:r>
        <w:rPr>
          <w:rFonts w:hint="eastAsia" w:ascii="仿宋_GB2312" w:hAnsi="黑体" w:eastAsia="仿宋_GB2312"/>
          <w:sz w:val="32"/>
          <w:szCs w:val="32"/>
        </w:rPr>
        <w:t>；支出包括：一般公共服务支出、社会保障和就业支出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三亚市菜篮子工程管理服务中心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645.39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三亚市菜篮子工程管理服务中心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三亚市菜篮子工程管理服务中心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645.39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217.92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33.77</w:t>
      </w:r>
      <w:r>
        <w:rPr>
          <w:rFonts w:hint="eastAsia" w:ascii="仿宋_GB2312" w:hAnsi="黑体" w:eastAsia="仿宋_GB2312"/>
          <w:sz w:val="32"/>
          <w:szCs w:val="32"/>
        </w:rPr>
        <w:t>%；一般公共预算经费拨款收入</w:t>
      </w:r>
      <w:r>
        <w:rPr>
          <w:rFonts w:hint="eastAsia" w:ascii="仿宋_GB2312" w:hAnsi="黑体" w:eastAsia="仿宋_GB2312" w:cs="仿宋_GB2312"/>
          <w:sz w:val="32"/>
          <w:szCs w:val="32"/>
          <w:lang w:val="en-US" w:eastAsia="zh-CN"/>
        </w:rPr>
        <w:t>427.47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66.23</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235.54</w:t>
      </w:r>
      <w:r>
        <w:rPr>
          <w:rFonts w:hint="eastAsia" w:ascii="仿宋_GB2312" w:hAnsi="黑体" w:eastAsia="仿宋_GB2312"/>
          <w:sz w:val="32"/>
          <w:szCs w:val="32"/>
        </w:rPr>
        <w:t>万元，</w:t>
      </w:r>
      <w:r>
        <w:rPr>
          <w:rFonts w:hint="eastAsia" w:ascii="仿宋_GB2312" w:hAnsi="黑体" w:eastAsia="仿宋_GB2312"/>
          <w:sz w:val="32"/>
          <w:szCs w:val="32"/>
          <w:lang w:eastAsia="zh-CN"/>
        </w:rPr>
        <w:t>主要原因是</w:t>
      </w:r>
      <w:r>
        <w:rPr>
          <w:rFonts w:hint="eastAsia" w:ascii="仿宋_GB2312" w:hAnsi="黑体" w:eastAsia="仿宋_GB2312"/>
          <w:sz w:val="32"/>
          <w:szCs w:val="32"/>
          <w:lang w:val="en-US" w:eastAsia="zh-CN"/>
        </w:rPr>
        <w:t>上年结转及省划拨菜篮子建设及平价菜零售保险市场信息化改造经费。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三亚市菜篮子工程管理服务中心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三亚市菜篮子工程管理服务中心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645.39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339.47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52.60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305.92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47.40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243.30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w:t>
      </w:r>
      <w:r>
        <w:rPr>
          <w:rFonts w:hint="eastAsia" w:ascii="仿宋_GB2312" w:hAnsi="黑体" w:eastAsia="仿宋_GB2312"/>
          <w:sz w:val="32"/>
          <w:szCs w:val="32"/>
        </w:rPr>
        <w:t>省划拨农贸市场平价菜零售保险市场信息化改造费用。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无</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三亚市菜篮子工程管理服务中心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8.4</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8.4</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三亚市菜篮子工程管理服务中心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三亚市菜篮子工程管理服务中心</w:t>
      </w:r>
      <w:r>
        <w:rPr>
          <w:rFonts w:hint="eastAsia" w:ascii="仿宋_GB2312" w:hAnsi="黑体" w:eastAsia="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427.47</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7E51A9"/>
    <w:rsid w:val="0CE05709"/>
    <w:rsid w:val="23304DBA"/>
    <w:rsid w:val="2513601C"/>
    <w:rsid w:val="253B0C49"/>
    <w:rsid w:val="2C7E51A9"/>
    <w:rsid w:val="32154702"/>
    <w:rsid w:val="326A6740"/>
    <w:rsid w:val="3597697E"/>
    <w:rsid w:val="50D851D2"/>
    <w:rsid w:val="590D123D"/>
    <w:rsid w:val="5CF11C7B"/>
    <w:rsid w:val="7AABD576"/>
    <w:rsid w:val="7B786056"/>
    <w:rsid w:val="7F784484"/>
    <w:rsid w:val="7FE51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119</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2021-04-16T17:12:00Z</dcterms:created>
  <dc:creator>Administrator</dc:creator>
  <cp:lastModifiedBy>user</cp:lastModifiedBy>
  <cp:lastPrinted>2022-02-16T15:06:00Z</cp:lastPrinted>
  <dcterms:modified xsi:type="dcterms:W3CDTF">2023-09-28T19:43:23Z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