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ascii="方正小标宋简体" w:eastAsia="方正小标宋简体"/>
          <w:sz w:val="52"/>
          <w:szCs w:val="52"/>
        </w:rPr>
      </w:pPr>
      <w:r>
        <w:rPr>
          <w:rFonts w:ascii="方正小标宋简体" w:eastAsia="方正小标宋简体"/>
          <w:sz w:val="52"/>
          <w:szCs w:val="52"/>
        </w:rPr>
        <w:t>2022</w:t>
      </w:r>
      <w:r>
        <w:rPr>
          <w:rFonts w:hint="eastAsia" w:ascii="方正小标宋简体" w:eastAsia="方正小标宋简体"/>
          <w:sz w:val="52"/>
          <w:szCs w:val="52"/>
        </w:rPr>
        <w:t>年</w:t>
      </w:r>
      <w:r>
        <w:rPr>
          <w:rFonts w:hint="eastAsia" w:ascii="方正小标宋简体" w:eastAsia="方正小标宋简体"/>
          <w:sz w:val="52"/>
          <w:szCs w:val="52"/>
        </w:rPr>
        <w:t>中共三亚市纪委部</w:t>
      </w:r>
      <w:r>
        <w:rPr>
          <w:rFonts w:hint="eastAsia" w:ascii="方正小标宋简体" w:eastAsia="方正小标宋简体"/>
          <w:sz w:val="52"/>
          <w:szCs w:val="52"/>
        </w:rPr>
        <w:t>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8"/>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rPr>
        <w:t>中共三亚市纪委部门</w:t>
      </w:r>
      <w:r>
        <w:rPr>
          <w:rFonts w:hint="eastAsia" w:ascii="黑体" w:hAnsi="黑体" w:eastAsia="黑体"/>
          <w:sz w:val="32"/>
          <w:szCs w:val="32"/>
        </w:rPr>
        <w:t>概况</w:t>
      </w:r>
    </w:p>
    <w:p>
      <w:pPr>
        <w:pStyle w:val="8"/>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8"/>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8"/>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rPr>
        <w:t>中共三亚市纪委</w:t>
      </w:r>
      <w:r>
        <w:rPr>
          <w:rFonts w:hint="eastAsia" w:ascii="黑体" w:hAnsi="黑体" w:eastAsia="黑体"/>
          <w:sz w:val="32"/>
          <w:szCs w:val="32"/>
        </w:rPr>
        <w:t>2022年部门预算表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8"/>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rPr>
        <w:t>中共三亚市纪委</w:t>
      </w:r>
      <w:r>
        <w:rPr>
          <w:rFonts w:ascii="黑体" w:hAnsi="黑体" w:eastAsia="黑体" w:cs="黑体"/>
          <w:sz w:val="32"/>
          <w:szCs w:val="32"/>
        </w:rPr>
        <w:t>2022</w:t>
      </w:r>
      <w:r>
        <w:rPr>
          <w:rFonts w:hint="eastAsia" w:ascii="黑体" w:hAnsi="黑体" w:eastAsia="黑体"/>
          <w:sz w:val="32"/>
          <w:szCs w:val="32"/>
        </w:rPr>
        <w:t>年部门预算情况说明</w:t>
      </w:r>
    </w:p>
    <w:p>
      <w:pPr>
        <w:pStyle w:val="8"/>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8"/>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8"/>
        <w:numPr>
          <w:ilvl w:val="0"/>
          <w:numId w:val="4"/>
        </w:numPr>
        <w:spacing w:line="560" w:lineRule="exact"/>
        <w:ind w:left="1320" w:hanging="1320"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rPr>
        <w:t>中共三亚市纪委</w:t>
      </w:r>
      <w:r>
        <w:rPr>
          <w:rFonts w:hint="eastAsia" w:ascii="黑体" w:hAnsi="黑体" w:eastAsia="黑体"/>
          <w:sz w:val="32"/>
          <w:szCs w:val="32"/>
        </w:rPr>
        <w:t>概况</w:t>
      </w:r>
    </w:p>
    <w:p>
      <w:pPr>
        <w:spacing w:line="560" w:lineRule="exact"/>
        <w:jc w:val="left"/>
        <w:rPr>
          <w:rFonts w:ascii="仿宋_GB2312" w:hAnsi="仿宋_GB2312" w:eastAsia="仿宋_GB2312" w:cs="仿宋_GB2312"/>
          <w:sz w:val="32"/>
          <w:szCs w:val="32"/>
        </w:rPr>
      </w:pPr>
    </w:p>
    <w:p>
      <w:pPr>
        <w:pStyle w:val="8"/>
        <w:numPr>
          <w:ilvl w:val="0"/>
          <w:numId w:val="5"/>
        </w:numPr>
        <w:spacing w:line="560" w:lineRule="exact"/>
        <w:ind w:left="1440" w:hanging="720"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5"/>
        <w:numPr>
          <w:ilvl w:val="0"/>
          <w:numId w:val="0"/>
        </w:numPr>
        <w:shd w:val="clear" w:color="auto" w:fill="FFFFFF"/>
        <w:spacing w:before="0" w:beforeAutospacing="0" w:after="0" w:afterAutospacing="0" w:line="560" w:lineRule="exact"/>
        <w:ind w:left="0" w:firstLine="640" w:firstLineChars="200"/>
        <w:rPr>
          <w:rFonts w:ascii="仿宋_GB2312" w:eastAsia="仿宋_GB2312"/>
          <w:color w:val="000000"/>
          <w:sz w:val="32"/>
          <w:szCs w:val="32"/>
        </w:rPr>
      </w:pPr>
      <w:r>
        <w:rPr>
          <w:rFonts w:ascii="仿宋_GB2312" w:eastAsia="仿宋_GB2312"/>
          <w:color w:val="000000"/>
          <w:sz w:val="32"/>
          <w:szCs w:val="32"/>
        </w:rPr>
        <w:t>(一)负责党的纪律检查工作。贯彻落实党中央、中央纪委、省委、省纪委、市委关于纪律检查工作的决定,维护党章和其他党内法规,检查党的路线方针政策和决议及中国(海南)自由贸易试验区、中国特色自由贸易港政策措施的执行情况,协助市委推进全面从严治党、加强党风建设和组织协调反腐败工作。</w:t>
      </w:r>
    </w:p>
    <w:p>
      <w:pPr>
        <w:pStyle w:val="5"/>
        <w:numPr>
          <w:ilvl w:val="0"/>
          <w:numId w:val="0"/>
        </w:numPr>
        <w:shd w:val="clear" w:color="auto" w:fill="FFFFFF"/>
        <w:spacing w:before="0" w:beforeAutospacing="0" w:after="0" w:afterAutospacing="0" w:line="560" w:lineRule="exact"/>
        <w:ind w:left="0" w:firstLine="640" w:firstLineChars="200"/>
        <w:rPr>
          <w:rFonts w:ascii="仿宋_GB2312" w:eastAsia="仿宋_GB2312"/>
          <w:color w:val="000000"/>
          <w:sz w:val="32"/>
          <w:szCs w:val="32"/>
        </w:rPr>
      </w:pPr>
      <w:r>
        <w:rPr>
          <w:rFonts w:ascii="仿宋_GB2312" w:eastAsia="仿宋_GB2312"/>
          <w:color w:val="000000"/>
          <w:sz w:val="32"/>
          <w:szCs w:val="32"/>
        </w:rPr>
        <w:t>(二)依照党章和其他党内法规履行监督、执纪、问责职责。负责经常对党员进行遵守纪律的教育,作出关于维护党纪的决定;对市委工作部门、市委批准设立的党组(党委、工委),各区党委、纪委等党的组织和市委管理的党员领导干部履行职责、行使权力进行监督,受理处置党员群众检举举报,开展谈话提醒、约谈函询;检查和处理上述党的组织和党员违反党章和其他党内法规的比较重要或者复杂的案件,决定或者取消对这些案件中的党员的处分;进行问责或者提出责任追究的建议;受理党员的控告和申诉;保障党员的权利。</w:t>
      </w:r>
    </w:p>
    <w:p>
      <w:pPr>
        <w:pStyle w:val="5"/>
        <w:numPr>
          <w:ilvl w:val="0"/>
          <w:numId w:val="0"/>
        </w:numPr>
        <w:shd w:val="clear" w:color="auto" w:fill="FFFFFF"/>
        <w:spacing w:before="0" w:beforeAutospacing="0" w:after="0" w:afterAutospacing="0" w:line="560" w:lineRule="exact"/>
        <w:ind w:left="0" w:firstLine="640" w:firstLineChars="200"/>
        <w:rPr>
          <w:rFonts w:ascii="仿宋_GB2312" w:eastAsia="仿宋_GB2312"/>
          <w:color w:val="000000"/>
          <w:sz w:val="32"/>
          <w:szCs w:val="32"/>
        </w:rPr>
      </w:pPr>
      <w:r>
        <w:rPr>
          <w:rFonts w:ascii="仿宋_GB2312" w:eastAsia="仿宋_GB2312"/>
          <w:color w:val="000000"/>
          <w:sz w:val="32"/>
          <w:szCs w:val="32"/>
        </w:rPr>
        <w:t>(三)负责全市监察工作。贯彻落实党中央、国家监委、省委、省监委和市委关于监察工作的决定,维护宪法法律,依法对市委管理的行使公权力的公职人员进行监察,调查职务违法和职务犯罪,开展廉政建设和反腐败工作。</w:t>
      </w:r>
    </w:p>
    <w:p>
      <w:pPr>
        <w:pStyle w:val="5"/>
        <w:numPr>
          <w:ilvl w:val="0"/>
          <w:numId w:val="0"/>
        </w:numPr>
        <w:shd w:val="clear" w:color="auto" w:fill="FFFFFF"/>
        <w:spacing w:before="0" w:beforeAutospacing="0" w:after="0" w:afterAutospacing="0" w:line="560" w:lineRule="exact"/>
        <w:ind w:left="0" w:firstLine="640" w:firstLineChars="200"/>
        <w:rPr>
          <w:rFonts w:ascii="仿宋_GB2312" w:eastAsia="仿宋_GB2312"/>
          <w:color w:val="000000"/>
          <w:sz w:val="32"/>
          <w:szCs w:val="32"/>
        </w:rPr>
      </w:pPr>
      <w:r>
        <w:rPr>
          <w:rFonts w:ascii="仿宋_GB2312" w:eastAsia="仿宋_GB2312"/>
          <w:color w:val="000000"/>
          <w:sz w:val="32"/>
          <w:szCs w:val="32"/>
        </w:rPr>
        <w:t>(四)依照法律规定履行监督、调查、处置职责。推动开展廉政教育,对市委管理的行使公权力的公职人员依法履职、</w:t>
      </w:r>
      <w:r>
        <w:rPr>
          <w:rFonts w:hint="eastAsia" w:ascii="仿宋_GB2312" w:eastAsia="仿宋_GB2312"/>
          <w:color w:val="000000"/>
          <w:sz w:val="32"/>
          <w:szCs w:val="32"/>
        </w:rPr>
        <w:t>秉公用权、廉洁从政从业以及道德操守情况进行监督检查</w:t>
      </w:r>
      <w:r>
        <w:rPr>
          <w:rFonts w:ascii="仿宋_GB2312" w:eastAsia="仿宋_GB2312"/>
          <w:color w:val="000000"/>
          <w:sz w:val="32"/>
          <w:szCs w:val="32"/>
        </w:rPr>
        <w:t>;对涉嫌贪污贿赂、滥用职权、玩忽职守、权力寻租、利益输送、徇私舞弊以及浪费国家资财等职务违法和职务犯罪进行调查;对违法的公职人员依法作出政务处分决定;对履行职责不力、失职失责的领导人员进行问责;对涉嫌职务犯罪的,将调查结果移送人民检察院依法审查、提起公诉;向监察对象所在单位提出监察建议。</w:t>
      </w:r>
    </w:p>
    <w:p>
      <w:pPr>
        <w:pStyle w:val="5"/>
        <w:numPr>
          <w:ilvl w:val="0"/>
          <w:numId w:val="0"/>
        </w:numPr>
        <w:shd w:val="clear" w:color="auto" w:fill="FFFFFF"/>
        <w:spacing w:before="0" w:beforeAutospacing="0" w:after="0" w:afterAutospacing="0" w:line="560" w:lineRule="exact"/>
        <w:ind w:left="0" w:firstLine="640" w:firstLineChars="200"/>
        <w:rPr>
          <w:rFonts w:ascii="仿宋_GB2312" w:eastAsia="仿宋_GB2312"/>
          <w:color w:val="000000"/>
          <w:sz w:val="32"/>
          <w:szCs w:val="32"/>
        </w:rPr>
      </w:pPr>
      <w:r>
        <w:rPr>
          <w:rFonts w:ascii="仿宋_GB2312" w:eastAsia="仿宋_GB2312"/>
          <w:color w:val="000000"/>
          <w:sz w:val="32"/>
          <w:szCs w:val="32"/>
        </w:rPr>
        <w:t>(五)负责组织协调全面从严治党、党风廉政建设和反腐败宣传教育工作。</w:t>
      </w:r>
    </w:p>
    <w:p>
      <w:pPr>
        <w:pStyle w:val="5"/>
        <w:numPr>
          <w:ilvl w:val="0"/>
          <w:numId w:val="0"/>
        </w:numPr>
        <w:shd w:val="clear" w:color="auto" w:fill="FFFFFF"/>
        <w:spacing w:before="0" w:beforeAutospacing="0" w:after="0" w:afterAutospacing="0" w:line="560" w:lineRule="exact"/>
        <w:ind w:left="0" w:firstLine="640" w:firstLineChars="200"/>
        <w:rPr>
          <w:rFonts w:ascii="仿宋_GB2312" w:eastAsia="仿宋_GB2312"/>
          <w:color w:val="000000"/>
          <w:sz w:val="32"/>
          <w:szCs w:val="32"/>
        </w:rPr>
      </w:pPr>
      <w:r>
        <w:rPr>
          <w:rFonts w:ascii="仿宋_GB2312" w:eastAsia="仿宋_GB2312"/>
          <w:color w:val="000000"/>
          <w:sz w:val="32"/>
          <w:szCs w:val="32"/>
        </w:rPr>
        <w:t>(六)负责综合分析全面从严治党、党风廉政建设和反腐败工作情况,对纪检监察工作重要理论及实践问题进行调查研究;制定或者修改纪检监察制度规定,参与起草制定相关党内法规、地方性法规和规范性文件。</w:t>
      </w:r>
    </w:p>
    <w:p>
      <w:pPr>
        <w:pStyle w:val="5"/>
        <w:numPr>
          <w:ilvl w:val="0"/>
          <w:numId w:val="0"/>
        </w:numPr>
        <w:shd w:val="clear" w:color="auto" w:fill="FFFFFF"/>
        <w:spacing w:before="0" w:beforeAutospacing="0" w:after="0" w:afterAutospacing="0" w:line="560" w:lineRule="exact"/>
        <w:ind w:left="0" w:firstLine="640" w:firstLineChars="200"/>
        <w:rPr>
          <w:rFonts w:ascii="仿宋_GB2312" w:eastAsia="仿宋_GB2312"/>
          <w:color w:val="000000"/>
          <w:sz w:val="32"/>
          <w:szCs w:val="32"/>
        </w:rPr>
      </w:pPr>
      <w:r>
        <w:rPr>
          <w:rFonts w:ascii="仿宋_GB2312" w:eastAsia="仿宋_GB2312"/>
          <w:color w:val="000000"/>
          <w:sz w:val="32"/>
          <w:szCs w:val="32"/>
        </w:rPr>
        <w:t>(七)贯彻落实党中央、中央纪委国家监委、省委、省纪委监委、市委关于加强反腐败国际追逃追赃和防逃的决策部署;负责组织协调全市反腐败国际追逃追赃和防逃工作,督促有关部门和单位建立健全追逃防逃合作机制及做好相关工作。</w:t>
      </w:r>
    </w:p>
    <w:p>
      <w:pPr>
        <w:pStyle w:val="5"/>
        <w:numPr>
          <w:ilvl w:val="0"/>
          <w:numId w:val="0"/>
        </w:numPr>
        <w:shd w:val="clear" w:color="auto" w:fill="FFFFFF"/>
        <w:spacing w:before="0" w:beforeAutospacing="0" w:after="0" w:afterAutospacing="0" w:line="560" w:lineRule="exact"/>
        <w:ind w:left="0" w:firstLine="640" w:firstLineChars="200"/>
        <w:rPr>
          <w:rFonts w:ascii="仿宋_GB2312" w:eastAsia="仿宋_GB2312"/>
          <w:color w:val="000000"/>
          <w:sz w:val="32"/>
          <w:szCs w:val="32"/>
        </w:rPr>
      </w:pPr>
      <w:r>
        <w:rPr>
          <w:rFonts w:ascii="仿宋_GB2312" w:eastAsia="仿宋_GB2312"/>
          <w:color w:val="000000"/>
          <w:sz w:val="32"/>
          <w:szCs w:val="32"/>
        </w:rPr>
        <w:t>(八)根据干部管理权限,负责全市纪检监察系统领导班子建设、干部队伍建设和组织建设的综合规划、政策研究、制度建设和业务指导;会同有关方面做好市纪委监委派驻(出)机构,区纪检监察机关,市属企业事业单位纪检监察机构领导班子建设有关工作;组织和指导全市纪检监察系统干部教育培训工作等。</w:t>
      </w:r>
    </w:p>
    <w:p>
      <w:pPr>
        <w:pStyle w:val="5"/>
        <w:shd w:val="clear" w:color="auto" w:fill="FFFFFF"/>
        <w:spacing w:before="0" w:beforeAutospacing="0" w:after="0" w:afterAutospacing="0" w:line="560" w:lineRule="exact"/>
        <w:ind w:firstLine="640" w:firstLineChars="200"/>
        <w:rPr>
          <w:rFonts w:ascii="黑体" w:hAnsi="黑体" w:eastAsia="黑体" w:cs="仿宋_GB2312"/>
          <w:color w:val="000000"/>
          <w:sz w:val="28"/>
          <w:szCs w:val="28"/>
        </w:rPr>
      </w:pPr>
      <w:r>
        <w:rPr>
          <w:rFonts w:hint="eastAsia" w:ascii="仿宋_GB2312" w:eastAsia="仿宋_GB2312"/>
          <w:color w:val="000000"/>
          <w:sz w:val="32"/>
          <w:szCs w:val="32"/>
        </w:rPr>
        <w:t>(九)完成省纪委监委和市委交办的其他任务。</w:t>
      </w:r>
    </w:p>
    <w:p>
      <w:pPr>
        <w:pStyle w:val="8"/>
        <w:numPr>
          <w:ilvl w:val="0"/>
          <w:numId w:val="0"/>
        </w:numPr>
        <w:spacing w:line="560" w:lineRule="exact"/>
        <w:ind w:left="720" w:firstLine="0" w:firstLineChars="0"/>
        <w:jc w:val="left"/>
        <w:rPr>
          <w:rFonts w:ascii="黑体" w:hAnsi="黑体" w:eastAsia="黑体" w:cs="仿宋_GB2312"/>
          <w:sz w:val="32"/>
          <w:szCs w:val="32"/>
        </w:rPr>
      </w:pPr>
      <w:r>
        <w:rPr>
          <w:rFonts w:hint="eastAsia" w:ascii="黑体" w:hAnsi="黑体" w:eastAsia="黑体" w:cs="仿宋_GB2312"/>
          <w:sz w:val="32"/>
          <w:szCs w:val="32"/>
        </w:rPr>
        <w:t>二、部门预算单位构成</w:t>
      </w:r>
    </w:p>
    <w:p>
      <w:pPr>
        <w:spacing w:line="560" w:lineRule="exact"/>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rPr>
        <w:t>纳入中共三亚市纪委2022年部门预算编制范围的二级预算单位包括：</w:t>
      </w:r>
    </w:p>
    <w:p>
      <w:pPr>
        <w:pStyle w:val="8"/>
        <w:numPr>
          <w:ilvl w:val="0"/>
          <w:numId w:val="6"/>
        </w:numPr>
        <w:spacing w:line="560" w:lineRule="exact"/>
        <w:ind w:left="1160" w:hanging="36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中共三亚市纪委</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rPr>
        <w:t>中共三亚市纪委</w:t>
      </w:r>
      <w:r>
        <w:rPr>
          <w:rFonts w:hint="eastAsia" w:ascii="黑体" w:hAnsi="黑体" w:eastAsia="黑体"/>
          <w:sz w:val="32"/>
          <w:szCs w:val="32"/>
        </w:rPr>
        <w:t>2022年部门预算表</w:t>
      </w:r>
    </w:p>
    <w:p>
      <w:pPr>
        <w:spacing w:line="560" w:lineRule="exact"/>
        <w:ind w:left="800"/>
        <w:jc w:val="left"/>
        <w:rPr>
          <w:rFonts w:ascii="黑体" w:hAnsi="黑体" w:eastAsia="黑体"/>
          <w:sz w:val="32"/>
          <w:szCs w:val="32"/>
        </w:rPr>
      </w:pPr>
    </w:p>
    <w:p>
      <w:pPr>
        <w:spacing w:line="560" w:lineRule="exact"/>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spacing w:line="560" w:lineRule="exact"/>
        <w:rPr>
          <w:rFonts w:ascii="黑体" w:hAnsi="黑体" w:eastAsia="黑体"/>
          <w:sz w:val="32"/>
          <w:szCs w:val="32"/>
        </w:rPr>
      </w:pPr>
    </w:p>
    <w:p>
      <w:pPr>
        <w:spacing w:line="560" w:lineRule="exact"/>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rPr>
        <w:t>中共三亚市纪委</w:t>
      </w:r>
      <w:r>
        <w:rPr>
          <w:rFonts w:ascii="黑体" w:hAnsi="黑体" w:eastAsia="黑体" w:cs="黑体"/>
          <w:sz w:val="32"/>
          <w:szCs w:val="32"/>
        </w:rPr>
        <w:t>2022</w:t>
      </w:r>
      <w:r>
        <w:rPr>
          <w:rFonts w:hint="eastAsia" w:ascii="黑体" w:hAnsi="黑体" w:eastAsia="黑体"/>
          <w:sz w:val="32"/>
          <w:szCs w:val="32"/>
        </w:rPr>
        <w:t>年部门预算情况说明</w:t>
      </w:r>
    </w:p>
    <w:p>
      <w:pPr>
        <w:spacing w:line="560" w:lineRule="exact"/>
        <w:jc w:val="center"/>
        <w:rPr>
          <w:rFonts w:ascii="黑体" w:hAnsi="黑体" w:eastAsia="黑体"/>
          <w:sz w:val="32"/>
          <w:szCs w:val="32"/>
        </w:rPr>
      </w:pPr>
    </w:p>
    <w:p>
      <w:pPr>
        <w:spacing w:line="560" w:lineRule="exact"/>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rPr>
        <w:t>中共三亚市纪委</w:t>
      </w:r>
      <w:r>
        <w:rPr>
          <w:rFonts w:ascii="黑体" w:hAnsi="黑体" w:eastAsia="黑体" w:cs="黑体"/>
          <w:sz w:val="32"/>
          <w:szCs w:val="32"/>
        </w:rPr>
        <w:t>2022</w:t>
      </w:r>
      <w:r>
        <w:rPr>
          <w:rFonts w:hint="eastAsia" w:ascii="黑体" w:hAnsi="黑体" w:eastAsia="黑体"/>
          <w:sz w:val="32"/>
          <w:szCs w:val="32"/>
        </w:rPr>
        <w:t>年财政拨款收支预算情况的总体说明</w:t>
      </w:r>
    </w:p>
    <w:p>
      <w:pPr>
        <w:spacing w:line="56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中共三亚市纪委</w:t>
      </w:r>
      <w:r>
        <w:rPr>
          <w:rFonts w:ascii="仿宋_GB2312" w:hAnsi="黑体" w:eastAsia="仿宋_GB2312"/>
          <w:sz w:val="32"/>
          <w:szCs w:val="32"/>
        </w:rPr>
        <w:t>2022</w:t>
      </w:r>
      <w:r>
        <w:rPr>
          <w:rFonts w:hint="eastAsia" w:ascii="仿宋_GB2312" w:hAnsi="黑体" w:eastAsia="仿宋_GB2312"/>
          <w:sz w:val="32"/>
          <w:szCs w:val="32"/>
        </w:rPr>
        <w:t>年财政拨款收支总预算9809.51万元。其中，收入总计</w:t>
      </w:r>
      <w:r>
        <w:rPr>
          <w:rFonts w:hint="eastAsia" w:ascii="仿宋_GB2312" w:hAnsi="黑体" w:eastAsia="仿宋_GB2312" w:cs="仿宋_GB2312"/>
          <w:sz w:val="32"/>
          <w:szCs w:val="32"/>
        </w:rPr>
        <w:t>9809.51</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9809.51</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9809.51</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rPr>
        <w:t>8815.56</w:t>
      </w:r>
      <w:r>
        <w:rPr>
          <w:rFonts w:hint="eastAsia" w:ascii="仿宋_GB2312" w:hAnsi="黑体" w:eastAsia="仿宋_GB2312"/>
          <w:sz w:val="32"/>
          <w:szCs w:val="32"/>
        </w:rPr>
        <w:t>万元、社会保障和就业支出353.15万元，卫生健康支出405.54万元，住房保障支出235.25万元。</w:t>
      </w:r>
    </w:p>
    <w:p>
      <w:pPr>
        <w:spacing w:line="560" w:lineRule="exact"/>
        <w:ind w:firstLine="640"/>
        <w:jc w:val="left"/>
        <w:rPr>
          <w:rFonts w:ascii="黑体" w:hAnsi="黑体" w:eastAsia="黑体"/>
          <w:sz w:val="32"/>
          <w:szCs w:val="32"/>
        </w:rPr>
      </w:pPr>
      <w:r>
        <w:rPr>
          <w:rFonts w:hint="eastAsia" w:ascii="黑体" w:hAnsi="黑体" w:eastAsia="黑体"/>
          <w:sz w:val="32"/>
          <w:szCs w:val="32"/>
        </w:rPr>
        <w:t>二、关于中共三亚市纪委2022年一般公共预算当年拨款情况说明</w:t>
      </w:r>
    </w:p>
    <w:p>
      <w:pPr>
        <w:spacing w:line="560" w:lineRule="exact"/>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中共三亚市纪委</w:t>
      </w:r>
      <w:r>
        <w:rPr>
          <w:rFonts w:ascii="仿宋_GB2312" w:hAnsi="黑体" w:eastAsia="仿宋_GB2312"/>
          <w:sz w:val="32"/>
          <w:szCs w:val="32"/>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rPr>
        <w:t>9809.51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增加471.35</w:t>
      </w:r>
      <w:r>
        <w:rPr>
          <w:rFonts w:hint="eastAsia" w:ascii="仿宋_GB2312" w:hAnsi="黑体" w:eastAsia="仿宋_GB2312"/>
          <w:sz w:val="32"/>
          <w:szCs w:val="32"/>
        </w:rPr>
        <w:t>万元，主要是我委纪检监察办案工作经费增加。</w:t>
      </w:r>
    </w:p>
    <w:p>
      <w:pPr>
        <w:spacing w:line="560" w:lineRule="exact"/>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spacing w:line="560" w:lineRule="exact"/>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一般公共服务（类）支出8815.56</w:t>
      </w:r>
      <w:r>
        <w:rPr>
          <w:rFonts w:hint="eastAsia" w:ascii="仿宋_GB2312" w:hAnsi="黑体" w:eastAsia="仿宋_GB2312"/>
          <w:sz w:val="32"/>
          <w:szCs w:val="32"/>
        </w:rPr>
        <w:t>万元，占</w:t>
      </w:r>
      <w:r>
        <w:rPr>
          <w:rFonts w:hint="eastAsia" w:ascii="仿宋_GB2312" w:hAnsi="黑体" w:eastAsia="仿宋_GB2312" w:cs="仿宋_GB2312"/>
          <w:sz w:val="32"/>
          <w:szCs w:val="32"/>
        </w:rPr>
        <w:t>89.87%</w:t>
      </w:r>
      <w:r>
        <w:rPr>
          <w:rFonts w:hint="eastAsia" w:ascii="仿宋_GB2312" w:hAnsi="黑体" w:eastAsia="仿宋_GB2312"/>
          <w:sz w:val="32"/>
          <w:szCs w:val="32"/>
        </w:rPr>
        <w:t>；社会保障和就业支出353.15万元，占3.60%；卫生健康支出405.54万元，占4.13%；住房保障支出235.25万元，占2.40%。</w:t>
      </w:r>
    </w:p>
    <w:p>
      <w:pPr>
        <w:spacing w:line="560" w:lineRule="exact"/>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spacing w:line="560" w:lineRule="exact"/>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1.一般公共服务（类）纪检监察事务（款）行政运行（项）2022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3216.44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减少109.43</w:t>
      </w:r>
      <w:r>
        <w:rPr>
          <w:rFonts w:hint="eastAsia" w:ascii="仿宋_GB2312" w:hAnsi="黑体" w:eastAsia="仿宋_GB2312"/>
          <w:sz w:val="32"/>
          <w:szCs w:val="32"/>
        </w:rPr>
        <w:t>万元，主要是人员调整后经费相应减少。</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一般公共服务（类）纪检监察事务（款）一般行政管理事务（项）2022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3015.12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减少738.33</w:t>
      </w:r>
      <w:r>
        <w:rPr>
          <w:rFonts w:hint="eastAsia" w:ascii="仿宋_GB2312" w:hAnsi="黑体" w:eastAsia="仿宋_GB2312"/>
          <w:sz w:val="32"/>
          <w:szCs w:val="32"/>
        </w:rPr>
        <w:t>万元，主要是将部分经费调整至“大案要案查处”项目。</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3.</w:t>
      </w:r>
      <w:r>
        <w:rPr>
          <w:rFonts w:hint="eastAsia" w:ascii="仿宋_GB2312" w:hAnsi="黑体" w:eastAsia="仿宋_GB2312" w:cs="仿宋_GB2312"/>
          <w:sz w:val="32"/>
          <w:szCs w:val="32"/>
        </w:rPr>
        <w:t xml:space="preserve"> 一般公共服务（类）纪检监察事务（款）大案要案查处（项）2022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1900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增加1900</w:t>
      </w:r>
      <w:r>
        <w:rPr>
          <w:rFonts w:hint="eastAsia" w:ascii="仿宋_GB2312" w:hAnsi="黑体" w:eastAsia="仿宋_GB2312"/>
          <w:sz w:val="32"/>
          <w:szCs w:val="32"/>
        </w:rPr>
        <w:t>万元，该项为今年新增项。</w:t>
      </w:r>
    </w:p>
    <w:p>
      <w:pPr>
        <w:spacing w:line="560" w:lineRule="exact"/>
        <w:ind w:firstLine="640"/>
        <w:rPr>
          <w:rFonts w:ascii="仿宋_GB2312" w:hAnsi="黑体" w:eastAsia="仿宋_GB2312"/>
          <w:sz w:val="32"/>
          <w:szCs w:val="32"/>
        </w:rPr>
      </w:pPr>
      <w:r>
        <w:rPr>
          <w:rFonts w:hint="eastAsia" w:ascii="仿宋_GB2312" w:hAnsi="黑体" w:eastAsia="仿宋_GB2312"/>
          <w:sz w:val="32"/>
          <w:szCs w:val="32"/>
        </w:rPr>
        <w:t>4</w:t>
      </w:r>
      <w:r>
        <w:rPr>
          <w:rFonts w:ascii="仿宋_GB2312" w:hAnsi="黑体" w:eastAsia="仿宋_GB2312"/>
          <w:sz w:val="32"/>
          <w:szCs w:val="32"/>
        </w:rPr>
        <w:t>.</w:t>
      </w:r>
      <w:r>
        <w:rPr>
          <w:rFonts w:hint="eastAsia" w:ascii="仿宋_GB2312" w:hAnsi="黑体" w:eastAsia="仿宋_GB2312"/>
          <w:sz w:val="32"/>
          <w:szCs w:val="32"/>
        </w:rPr>
        <w:t>一般公共服务（类）纪检监察事务（款）巡视工作（项）</w:t>
      </w:r>
      <w:r>
        <w:rPr>
          <w:rFonts w:ascii="仿宋_GB2312" w:hAnsi="黑体" w:eastAsia="仿宋_GB2312"/>
          <w:sz w:val="32"/>
          <w:szCs w:val="32"/>
        </w:rPr>
        <w:t>2</w:t>
      </w:r>
      <w:r>
        <w:rPr>
          <w:rFonts w:hint="eastAsia" w:ascii="仿宋_GB2312" w:hAnsi="黑体" w:eastAsia="仿宋_GB2312"/>
          <w:sz w:val="32"/>
          <w:szCs w:val="32"/>
        </w:rPr>
        <w:t>022年预算数为560万元，比上年预算数减少140万元，主要是计划对2022市委巡察工作组织形式进行调整，降低巡察工作经费。</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5</w:t>
      </w:r>
      <w:r>
        <w:rPr>
          <w:rFonts w:ascii="仿宋_GB2312" w:hAnsi="黑体" w:eastAsia="仿宋_GB2312"/>
          <w:sz w:val="32"/>
          <w:szCs w:val="32"/>
        </w:rPr>
        <w:t>.</w:t>
      </w:r>
      <w:r>
        <w:rPr>
          <w:rFonts w:hint="eastAsia" w:ascii="仿宋_GB2312" w:hAnsi="黑体" w:eastAsia="仿宋_GB2312"/>
          <w:sz w:val="32"/>
          <w:szCs w:val="32"/>
        </w:rPr>
        <w:t>一般公共服务（类）纪检监察事务（款）其他纪检监察事务支出（项）</w:t>
      </w:r>
      <w:r>
        <w:rPr>
          <w:rFonts w:ascii="仿宋_GB2312" w:hAnsi="黑体" w:eastAsia="仿宋_GB2312"/>
          <w:sz w:val="32"/>
          <w:szCs w:val="32"/>
        </w:rPr>
        <w:t>2</w:t>
      </w:r>
      <w:r>
        <w:rPr>
          <w:rFonts w:hint="eastAsia" w:ascii="仿宋_GB2312" w:hAnsi="黑体" w:eastAsia="仿宋_GB2312"/>
          <w:sz w:val="32"/>
          <w:szCs w:val="32"/>
        </w:rPr>
        <w:t>022年预算数为124万元，比上年预算数减少421万元，主要是将部分经费调整至“大案要案查处”项目。</w:t>
      </w:r>
    </w:p>
    <w:p>
      <w:pPr>
        <w:spacing w:line="560" w:lineRule="exact"/>
        <w:ind w:firstLine="640"/>
        <w:rPr>
          <w:rFonts w:ascii="仿宋_GB2312" w:hAnsi="黑体" w:eastAsia="仿宋_GB2312"/>
          <w:sz w:val="32"/>
          <w:szCs w:val="32"/>
        </w:rPr>
      </w:pPr>
      <w:r>
        <w:rPr>
          <w:rFonts w:hint="eastAsia" w:ascii="仿宋_GB2312" w:hAnsi="黑体" w:eastAsia="仿宋_GB2312"/>
          <w:sz w:val="32"/>
          <w:szCs w:val="32"/>
        </w:rPr>
        <w:t>6</w:t>
      </w:r>
      <w:r>
        <w:rPr>
          <w:rFonts w:ascii="仿宋_GB2312" w:hAnsi="黑体" w:eastAsia="仿宋_GB2312"/>
          <w:sz w:val="32"/>
          <w:szCs w:val="32"/>
        </w:rPr>
        <w:t>.</w:t>
      </w:r>
      <w:r>
        <w:rPr>
          <w:rFonts w:hint="eastAsia" w:ascii="仿宋_GB2312" w:hAnsi="黑体" w:eastAsia="仿宋_GB2312"/>
          <w:sz w:val="32"/>
          <w:szCs w:val="32"/>
        </w:rPr>
        <w:t>社会保障和就业支出（类）行政事业单位养老支出（款）机关事业单位基本养老保险缴费支出（项）</w:t>
      </w:r>
      <w:r>
        <w:rPr>
          <w:rFonts w:ascii="仿宋_GB2312" w:hAnsi="黑体" w:eastAsia="仿宋_GB2312"/>
          <w:sz w:val="32"/>
          <w:szCs w:val="32"/>
        </w:rPr>
        <w:t>20</w:t>
      </w:r>
      <w:r>
        <w:rPr>
          <w:rFonts w:hint="eastAsia" w:ascii="仿宋_GB2312" w:hAnsi="黑体" w:eastAsia="仿宋_GB2312"/>
          <w:sz w:val="32"/>
          <w:szCs w:val="32"/>
        </w:rPr>
        <w:t>22年预算数为281.39万元，比上年预算数减少1.3万元，主要是人员调整后经费相应减少。</w:t>
      </w:r>
    </w:p>
    <w:p>
      <w:pPr>
        <w:spacing w:line="560" w:lineRule="exact"/>
        <w:ind w:firstLine="640"/>
        <w:rPr>
          <w:rFonts w:ascii="仿宋_GB2312" w:hAnsi="黑体" w:eastAsia="仿宋_GB2312"/>
          <w:sz w:val="32"/>
          <w:szCs w:val="32"/>
        </w:rPr>
      </w:pPr>
      <w:r>
        <w:rPr>
          <w:rFonts w:hint="eastAsia" w:ascii="仿宋_GB2312" w:hAnsi="黑体" w:eastAsia="仿宋_GB2312"/>
          <w:sz w:val="32"/>
          <w:szCs w:val="32"/>
        </w:rPr>
        <w:t>7</w:t>
      </w:r>
      <w:r>
        <w:rPr>
          <w:rFonts w:ascii="仿宋_GB2312" w:hAnsi="黑体" w:eastAsia="仿宋_GB2312"/>
          <w:sz w:val="32"/>
          <w:szCs w:val="32"/>
        </w:rPr>
        <w:t>.</w:t>
      </w:r>
      <w:r>
        <w:rPr>
          <w:rFonts w:hint="eastAsia" w:ascii="仿宋_GB2312" w:hAnsi="黑体" w:eastAsia="仿宋_GB2312"/>
          <w:sz w:val="32"/>
          <w:szCs w:val="32"/>
        </w:rPr>
        <w:t>社会保障和就业支出（类）行政事业单位养老支出（款）机关事业单位职业年金缴费支出（项）</w:t>
      </w:r>
      <w:r>
        <w:rPr>
          <w:rFonts w:ascii="仿宋_GB2312" w:hAnsi="黑体" w:eastAsia="仿宋_GB2312"/>
          <w:sz w:val="32"/>
          <w:szCs w:val="32"/>
        </w:rPr>
        <w:t>20</w:t>
      </w:r>
      <w:r>
        <w:rPr>
          <w:rFonts w:hint="eastAsia" w:ascii="仿宋_GB2312" w:hAnsi="黑体" w:eastAsia="仿宋_GB2312"/>
          <w:sz w:val="32"/>
          <w:szCs w:val="32"/>
        </w:rPr>
        <w:t>22年预算数为70万元，该项为今年新增项。</w:t>
      </w:r>
    </w:p>
    <w:p>
      <w:pPr>
        <w:spacing w:line="560" w:lineRule="exact"/>
        <w:ind w:firstLine="640"/>
        <w:rPr>
          <w:rFonts w:ascii="仿宋_GB2312" w:hAnsi="黑体" w:eastAsia="仿宋_GB2312"/>
          <w:sz w:val="32"/>
          <w:szCs w:val="32"/>
        </w:rPr>
      </w:pPr>
      <w:r>
        <w:rPr>
          <w:rFonts w:hint="eastAsia" w:ascii="仿宋_GB2312" w:hAnsi="黑体" w:eastAsia="仿宋_GB2312"/>
          <w:sz w:val="32"/>
          <w:szCs w:val="32"/>
        </w:rPr>
        <w:t>8</w:t>
      </w:r>
      <w:r>
        <w:rPr>
          <w:rFonts w:ascii="仿宋_GB2312" w:hAnsi="黑体" w:eastAsia="仿宋_GB2312"/>
          <w:sz w:val="32"/>
          <w:szCs w:val="32"/>
        </w:rPr>
        <w:t>.</w:t>
      </w:r>
      <w:r>
        <w:rPr>
          <w:rFonts w:hint="eastAsia" w:ascii="仿宋_GB2312" w:hAnsi="黑体" w:eastAsia="仿宋_GB2312"/>
          <w:sz w:val="32"/>
          <w:szCs w:val="32"/>
        </w:rPr>
        <w:t>社会保障和就业支出（类）抚恤（款）其他优抚支出（项）</w:t>
      </w:r>
      <w:r>
        <w:rPr>
          <w:rFonts w:ascii="仿宋_GB2312" w:hAnsi="黑体" w:eastAsia="仿宋_GB2312"/>
          <w:sz w:val="32"/>
          <w:szCs w:val="32"/>
        </w:rPr>
        <w:t>20</w:t>
      </w:r>
      <w:r>
        <w:rPr>
          <w:rFonts w:hint="eastAsia" w:ascii="仿宋_GB2312" w:hAnsi="黑体" w:eastAsia="仿宋_GB2312"/>
          <w:sz w:val="32"/>
          <w:szCs w:val="32"/>
        </w:rPr>
        <w:t>22年预算数为1.76万元，与上年预算数持平。</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9</w:t>
      </w:r>
      <w:r>
        <w:rPr>
          <w:rFonts w:ascii="仿宋_GB2312" w:hAnsi="黑体" w:eastAsia="仿宋_GB2312"/>
          <w:sz w:val="32"/>
          <w:szCs w:val="32"/>
        </w:rPr>
        <w:t>.</w:t>
      </w:r>
      <w:r>
        <w:rPr>
          <w:rFonts w:hint="eastAsia" w:ascii="仿宋_GB2312" w:hAnsi="黑体" w:eastAsia="仿宋_GB2312"/>
          <w:sz w:val="32"/>
          <w:szCs w:val="32"/>
        </w:rPr>
        <w:t>卫生健康支出（类）行政事业单位医疗（款）行政单位医疗（项）</w:t>
      </w:r>
      <w:r>
        <w:rPr>
          <w:rFonts w:ascii="仿宋_GB2312" w:hAnsi="黑体" w:eastAsia="仿宋_GB2312"/>
          <w:sz w:val="32"/>
          <w:szCs w:val="32"/>
        </w:rPr>
        <w:t>20</w:t>
      </w:r>
      <w:r>
        <w:rPr>
          <w:rFonts w:hint="eastAsia" w:ascii="仿宋_GB2312" w:hAnsi="黑体" w:eastAsia="仿宋_GB2312"/>
          <w:sz w:val="32"/>
          <w:szCs w:val="32"/>
        </w:rPr>
        <w:t>22年预算数为149.49万元，比上年预算数减少0.69万元，主要是人员调整后经费相应减少。</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10</w:t>
      </w:r>
      <w:r>
        <w:rPr>
          <w:rFonts w:ascii="仿宋_GB2312" w:hAnsi="黑体" w:eastAsia="仿宋_GB2312"/>
          <w:sz w:val="32"/>
          <w:szCs w:val="32"/>
        </w:rPr>
        <w:t>.</w:t>
      </w:r>
      <w:r>
        <w:rPr>
          <w:rFonts w:hint="eastAsia" w:ascii="仿宋_GB2312" w:hAnsi="黑体" w:eastAsia="仿宋_GB2312"/>
          <w:sz w:val="32"/>
          <w:szCs w:val="32"/>
        </w:rPr>
        <w:t>卫生健康支出（类）行政事业单位医疗（款）公务员医疗补助（项）</w:t>
      </w:r>
      <w:r>
        <w:rPr>
          <w:rFonts w:ascii="仿宋_GB2312" w:hAnsi="黑体" w:eastAsia="仿宋_GB2312"/>
          <w:sz w:val="32"/>
          <w:szCs w:val="32"/>
        </w:rPr>
        <w:t>20</w:t>
      </w:r>
      <w:r>
        <w:rPr>
          <w:rFonts w:hint="eastAsia" w:ascii="仿宋_GB2312" w:hAnsi="黑体" w:eastAsia="仿宋_GB2312"/>
          <w:sz w:val="32"/>
          <w:szCs w:val="32"/>
        </w:rPr>
        <w:t>22年预算数为256.05万元，比上年预算数减少74.87万元，主要是按照2021年实际支出情况进行了下调（2021年支出250万元）。</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11</w:t>
      </w:r>
      <w:r>
        <w:rPr>
          <w:rFonts w:ascii="仿宋_GB2312" w:hAnsi="黑体" w:eastAsia="仿宋_GB2312"/>
          <w:sz w:val="32"/>
          <w:szCs w:val="32"/>
        </w:rPr>
        <w:t>.</w:t>
      </w:r>
      <w:r>
        <w:rPr>
          <w:rFonts w:hint="eastAsia" w:ascii="仿宋_GB2312" w:hAnsi="黑体" w:eastAsia="仿宋_GB2312"/>
          <w:sz w:val="32"/>
          <w:szCs w:val="32"/>
        </w:rPr>
        <w:t>住房保障支出（类）住房改革支出（款）住房公积金（项）</w:t>
      </w:r>
      <w:r>
        <w:rPr>
          <w:rFonts w:ascii="仿宋_GB2312" w:hAnsi="黑体" w:eastAsia="仿宋_GB2312"/>
          <w:sz w:val="32"/>
          <w:szCs w:val="32"/>
        </w:rPr>
        <w:t>20</w:t>
      </w:r>
      <w:r>
        <w:rPr>
          <w:rFonts w:hint="eastAsia" w:ascii="仿宋_GB2312" w:hAnsi="黑体" w:eastAsia="仿宋_GB2312"/>
          <w:sz w:val="32"/>
          <w:szCs w:val="32"/>
        </w:rPr>
        <w:t>22年预算数为235.25万元，比上年预算数减少13.05万元，主要是人员调整后经费相应减少。</w:t>
      </w:r>
    </w:p>
    <w:p>
      <w:pPr>
        <w:spacing w:line="560" w:lineRule="exact"/>
        <w:ind w:firstLine="640"/>
        <w:rPr>
          <w:rFonts w:ascii="黑体" w:hAnsi="黑体" w:eastAsia="黑体"/>
          <w:sz w:val="32"/>
          <w:szCs w:val="32"/>
        </w:rPr>
      </w:pPr>
      <w:r>
        <w:rPr>
          <w:rFonts w:hint="eastAsia" w:ascii="黑体" w:hAnsi="黑体" w:eastAsia="黑体"/>
          <w:sz w:val="32"/>
          <w:szCs w:val="32"/>
        </w:rPr>
        <w:t>三、关于中共三亚市纪委2022年一般公共预算基本支出情况说明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中共三亚市纪委2022年一般公共预算基本支出为</w:t>
      </w:r>
      <w:r>
        <w:rPr>
          <w:rFonts w:hint="eastAsia" w:ascii="仿宋_GB2312" w:hAnsi="黑体" w:eastAsia="仿宋_GB2312" w:cs="仿宋_GB2312"/>
          <w:sz w:val="32"/>
          <w:szCs w:val="32"/>
        </w:rPr>
        <w:t>4210.39</w:t>
      </w:r>
      <w:r>
        <w:rPr>
          <w:rFonts w:hint="eastAsia" w:ascii="仿宋_GB2312" w:hAnsi="黑体" w:eastAsia="仿宋_GB2312"/>
          <w:sz w:val="32"/>
          <w:szCs w:val="32"/>
        </w:rPr>
        <w:t>万元，其中：</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3857.55</w:t>
      </w:r>
      <w:r>
        <w:rPr>
          <w:rFonts w:hint="eastAsia" w:ascii="仿宋_GB2312" w:hAnsi="黑体" w:eastAsia="仿宋_GB2312"/>
          <w:sz w:val="32"/>
          <w:szCs w:val="32"/>
        </w:rPr>
        <w:t>万元，主要包括：基本工资、津贴补贴、奖金、绩效工资、机关事业单位基本养老保险缴费、职业年金缴费、职工基本医疗保险缴费、公务员医疗补助缴费、其他社会保障缴费、住房公积金、医疗费、其他工资福利支出、邮电费、其他交通费用、生活补助、奖励金；</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352.82</w:t>
      </w:r>
      <w:r>
        <w:rPr>
          <w:rFonts w:hint="eastAsia" w:ascii="仿宋_GB2312" w:hAnsi="黑体" w:eastAsia="仿宋_GB2312"/>
          <w:sz w:val="32"/>
          <w:szCs w:val="32"/>
        </w:rPr>
        <w:t>万元，主要包括：其他社会保障缴费、办公费、培训费、工会经费、福利费、公务用车运行维护费、其他商品和服务支出、生活补助、其他对个人和家庭的补助。</w:t>
      </w:r>
    </w:p>
    <w:p>
      <w:pPr>
        <w:spacing w:line="560"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中共三亚市纪委2022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spacing w:line="560" w:lineRule="exact"/>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（一）中共三亚市纪委2022年一般公共预算“三公”经费预算数为</w:t>
      </w:r>
      <w:r>
        <w:rPr>
          <w:rFonts w:hint="eastAsia" w:ascii="仿宋_GB2312" w:hAnsi="黑体" w:eastAsia="仿宋_GB2312" w:cs="仿宋_GB2312"/>
          <w:sz w:val="32"/>
          <w:szCs w:val="32"/>
        </w:rPr>
        <w:t>94.83</w:t>
      </w:r>
      <w:r>
        <w:rPr>
          <w:rFonts w:hint="eastAsia" w:ascii="仿宋_GB2312" w:hAnsi="黑体" w:eastAsia="仿宋_GB2312"/>
          <w:sz w:val="32"/>
          <w:szCs w:val="32"/>
        </w:rPr>
        <w:t>万元，其中：</w:t>
      </w:r>
    </w:p>
    <w:p>
      <w:pPr>
        <w:spacing w:line="560" w:lineRule="exact"/>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rPr>
        <w:t>87.07</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87.07</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32辆，无购置计划</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7.76</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rPr>
        <w:t>50批300人</w:t>
      </w:r>
      <w:r>
        <w:rPr>
          <w:rFonts w:hint="eastAsia" w:ascii="Times New Roman" w:hAnsi="Times New Roman" w:eastAsia="仿宋_GB2312" w:cs="Times New Roman"/>
          <w:sz w:val="32"/>
          <w:shd w:val="clear" w:color="auto" w:fill="FFFFFF"/>
        </w:rPr>
        <w:t>。</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（二）中共三亚市纪委2022年无政府性基金预算“三公”经费预算数</w:t>
      </w:r>
      <w:r>
        <w:rPr>
          <w:rFonts w:hint="eastAsia" w:ascii="仿宋_GB2312" w:hAnsi="黑体" w:eastAsia="仿宋_GB2312"/>
          <w:sz w:val="32"/>
          <w:szCs w:val="32"/>
          <w:lang w:eastAsia="zh-CN"/>
        </w:rPr>
        <w:t>，与上年预算持平。</w:t>
      </w:r>
    </w:p>
    <w:p>
      <w:pPr>
        <w:spacing w:line="560"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中共三亚市纪委2022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spacing w:line="560" w:lineRule="exact"/>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中共三亚市纪委</w:t>
      </w:r>
      <w:r>
        <w:rPr>
          <w:rFonts w:ascii="仿宋_GB2312" w:hAnsi="黑体" w:eastAsia="仿宋_GB2312"/>
          <w:sz w:val="32"/>
          <w:szCs w:val="32"/>
        </w:rPr>
        <w:t>20</w:t>
      </w:r>
      <w:r>
        <w:rPr>
          <w:rFonts w:hint="eastAsia" w:ascii="仿宋_GB2312" w:hAnsi="黑体" w:eastAsia="仿宋_GB2312"/>
          <w:sz w:val="32"/>
          <w:szCs w:val="32"/>
        </w:rPr>
        <w:t>22年无政府性基金预算</w:t>
      </w:r>
      <w:r>
        <w:rPr>
          <w:rFonts w:hint="eastAsia" w:ascii="仿宋_GB2312" w:hAnsi="黑体" w:eastAsia="仿宋_GB2312"/>
          <w:sz w:val="32"/>
          <w:szCs w:val="32"/>
          <w:lang w:eastAsia="zh-CN"/>
        </w:rPr>
        <w:t>，与上年预算持平。</w:t>
      </w:r>
    </w:p>
    <w:p>
      <w:pPr>
        <w:spacing w:line="560" w:lineRule="exact"/>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中共三亚市纪委2</w:t>
      </w:r>
      <w:r>
        <w:rPr>
          <w:rFonts w:ascii="仿宋_GB2312" w:hAnsi="黑体" w:eastAsia="仿宋_GB2312"/>
          <w:sz w:val="32"/>
          <w:szCs w:val="32"/>
        </w:rPr>
        <w:t>0</w:t>
      </w:r>
      <w:r>
        <w:rPr>
          <w:rFonts w:hint="eastAsia" w:ascii="仿宋_GB2312" w:hAnsi="黑体" w:eastAsia="仿宋_GB2312"/>
          <w:sz w:val="32"/>
          <w:szCs w:val="32"/>
        </w:rPr>
        <w:t>22年无政府性基金预算</w:t>
      </w:r>
      <w:r>
        <w:rPr>
          <w:rFonts w:hint="eastAsia" w:ascii="仿宋_GB2312" w:hAnsi="黑体" w:eastAsia="仿宋_GB2312"/>
          <w:sz w:val="32"/>
          <w:szCs w:val="32"/>
          <w:lang w:eastAsia="zh-CN"/>
        </w:rPr>
        <w:t>，与上年预算持平。</w:t>
      </w:r>
    </w:p>
    <w:p>
      <w:pPr>
        <w:spacing w:line="560" w:lineRule="exact"/>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中共三亚市纪委2</w:t>
      </w:r>
      <w:r>
        <w:rPr>
          <w:rFonts w:ascii="仿宋_GB2312" w:hAnsi="黑体" w:eastAsia="仿宋_GB2312"/>
          <w:sz w:val="32"/>
          <w:szCs w:val="32"/>
        </w:rPr>
        <w:t>0</w:t>
      </w:r>
      <w:r>
        <w:rPr>
          <w:rFonts w:hint="eastAsia" w:ascii="仿宋_GB2312" w:hAnsi="黑体" w:eastAsia="仿宋_GB2312"/>
          <w:sz w:val="32"/>
          <w:szCs w:val="32"/>
        </w:rPr>
        <w:t>22年无政府性基金预算</w:t>
      </w:r>
      <w:r>
        <w:rPr>
          <w:rFonts w:hint="eastAsia" w:ascii="仿宋_GB2312" w:hAnsi="黑体" w:eastAsia="仿宋_GB2312"/>
          <w:sz w:val="32"/>
          <w:szCs w:val="32"/>
          <w:lang w:eastAsia="zh-CN"/>
        </w:rPr>
        <w:t>，与上年预算持平。</w:t>
      </w:r>
      <w:bookmarkStart w:id="0" w:name="_GoBack"/>
      <w:bookmarkEnd w:id="0"/>
    </w:p>
    <w:p>
      <w:pPr>
        <w:spacing w:line="560"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中共三亚市纪委2022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spacing w:line="560" w:lineRule="exact"/>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按照综合预算原则，中共三亚市纪委所有收入和支出均纳入部门预算管理。收入包括：一般公共预算收入</w:t>
      </w:r>
      <w:r>
        <w:rPr>
          <w:rFonts w:hint="eastAsia" w:ascii="仿宋_GB2312" w:hAnsi="黑体" w:eastAsia="仿宋_GB2312"/>
          <w:sz w:val="32"/>
          <w:szCs w:val="32"/>
        </w:rPr>
        <w:t>；支出包括：一般公共服务支出、社会保障和就业支出、卫生健康支出、住房保障支出。中共三亚市纪委年收支总预算9809.51万元。</w:t>
      </w:r>
    </w:p>
    <w:p>
      <w:pPr>
        <w:spacing w:line="560"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中共三亚市纪委2022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cs="仿宋_GB2312"/>
          <w:sz w:val="32"/>
          <w:szCs w:val="32"/>
        </w:rPr>
        <w:t>中共三亚市纪委2022</w:t>
      </w:r>
      <w:r>
        <w:rPr>
          <w:rFonts w:hint="eastAsia" w:ascii="仿宋_GB2312" w:hAnsi="黑体" w:eastAsia="仿宋_GB2312"/>
          <w:sz w:val="32"/>
          <w:szCs w:val="32"/>
        </w:rPr>
        <w:t>年收入预算9809.51万元，其中：经费拨款收入9809.51万元，占</w:t>
      </w:r>
      <w:r>
        <w:rPr>
          <w:rFonts w:ascii="仿宋_GB2312" w:hAnsi="黑体" w:eastAsia="仿宋_GB2312" w:cs="仿宋_GB2312"/>
          <w:sz w:val="32"/>
          <w:szCs w:val="32"/>
        </w:rPr>
        <w:t>100</w:t>
      </w:r>
      <w:r>
        <w:rPr>
          <w:rFonts w:ascii="仿宋_GB2312" w:hAnsi="黑体" w:eastAsia="仿宋_GB2312"/>
          <w:sz w:val="32"/>
          <w:szCs w:val="32"/>
        </w:rPr>
        <w:t>%</w:t>
      </w:r>
      <w:r>
        <w:rPr>
          <w:rFonts w:hint="eastAsia" w:ascii="仿宋_GB2312" w:hAnsi="黑体" w:eastAsia="仿宋_GB2312"/>
          <w:sz w:val="32"/>
          <w:szCs w:val="32"/>
        </w:rPr>
        <w:t>，收入预算比上年预算数</w:t>
      </w:r>
      <w:r>
        <w:rPr>
          <w:rFonts w:hint="eastAsia" w:ascii="仿宋_GB2312" w:hAnsi="黑体" w:eastAsia="仿宋_GB2312" w:cs="仿宋_GB2312"/>
          <w:sz w:val="32"/>
          <w:szCs w:val="32"/>
        </w:rPr>
        <w:t>增加471.35</w:t>
      </w:r>
      <w:r>
        <w:rPr>
          <w:rFonts w:hint="eastAsia" w:ascii="仿宋_GB2312" w:hAnsi="黑体" w:eastAsia="仿宋_GB2312"/>
          <w:sz w:val="32"/>
          <w:szCs w:val="32"/>
        </w:rPr>
        <w:t>万元，主要是我委纪检监察办案工作经费增加。</w:t>
      </w:r>
    </w:p>
    <w:p>
      <w:pPr>
        <w:spacing w:line="560"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中共三亚市纪委2022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cs="仿宋_GB2312"/>
          <w:sz w:val="32"/>
          <w:szCs w:val="32"/>
        </w:rPr>
        <w:t>中共三亚市纪委2022</w:t>
      </w:r>
      <w:r>
        <w:rPr>
          <w:rFonts w:hint="eastAsia" w:ascii="仿宋_GB2312" w:hAnsi="黑体" w:eastAsia="仿宋_GB2312"/>
          <w:sz w:val="32"/>
          <w:szCs w:val="32"/>
        </w:rPr>
        <w:t>年支出预算</w:t>
      </w:r>
      <w:r>
        <w:rPr>
          <w:rFonts w:hint="eastAsia" w:ascii="仿宋_GB2312" w:hAnsi="黑体" w:eastAsia="仿宋_GB2312" w:cs="仿宋_GB2312"/>
          <w:sz w:val="32"/>
          <w:szCs w:val="32"/>
        </w:rPr>
        <w:t>9809.51</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4210.39</w:t>
      </w:r>
      <w:r>
        <w:rPr>
          <w:rFonts w:hint="eastAsia" w:ascii="仿宋_GB2312" w:hAnsi="黑体" w:eastAsia="仿宋_GB2312"/>
          <w:sz w:val="32"/>
          <w:szCs w:val="32"/>
        </w:rPr>
        <w:t>万元，占</w:t>
      </w:r>
      <w:r>
        <w:rPr>
          <w:rFonts w:hint="eastAsia" w:ascii="仿宋_GB2312" w:hAnsi="黑体" w:eastAsia="仿宋_GB2312" w:cs="仿宋_GB2312"/>
          <w:sz w:val="32"/>
          <w:szCs w:val="32"/>
        </w:rPr>
        <w:t>42.92%</w:t>
      </w:r>
      <w:r>
        <w:rPr>
          <w:rFonts w:hint="eastAsia" w:ascii="仿宋_GB2312" w:hAnsi="黑体" w:eastAsia="仿宋_GB2312"/>
          <w:sz w:val="32"/>
          <w:szCs w:val="32"/>
        </w:rPr>
        <w:t>；项目支出</w:t>
      </w:r>
      <w:r>
        <w:rPr>
          <w:rFonts w:hint="eastAsia" w:ascii="仿宋_GB2312" w:hAnsi="黑体" w:eastAsia="仿宋_GB2312" w:cs="仿宋_GB2312"/>
          <w:sz w:val="32"/>
          <w:szCs w:val="32"/>
        </w:rPr>
        <w:t>5599.12</w:t>
      </w:r>
      <w:r>
        <w:rPr>
          <w:rFonts w:hint="eastAsia" w:ascii="仿宋_GB2312" w:hAnsi="黑体" w:eastAsia="仿宋_GB2312"/>
          <w:sz w:val="32"/>
          <w:szCs w:val="32"/>
        </w:rPr>
        <w:t>万元，占</w:t>
      </w:r>
      <w:r>
        <w:rPr>
          <w:rFonts w:hint="eastAsia" w:ascii="仿宋_GB2312" w:hAnsi="黑体" w:eastAsia="仿宋_GB2312" w:cs="仿宋_GB2312"/>
          <w:sz w:val="32"/>
          <w:szCs w:val="32"/>
        </w:rPr>
        <w:t>57.08%</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增加471.35</w:t>
      </w:r>
      <w:r>
        <w:rPr>
          <w:rFonts w:hint="eastAsia" w:ascii="仿宋_GB2312" w:hAnsi="黑体" w:eastAsia="仿宋_GB2312"/>
          <w:sz w:val="32"/>
          <w:szCs w:val="32"/>
        </w:rPr>
        <w:t>万元，主要是我委纪检监察办案工作经费增加。</w:t>
      </w:r>
    </w:p>
    <w:p>
      <w:pPr>
        <w:spacing w:line="560"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spacing w:line="560" w:lineRule="exact"/>
        <w:ind w:firstLine="640" w:firstLineChars="200"/>
        <w:rPr>
          <w:rFonts w:ascii="楷体" w:hAnsi="楷体" w:eastAsia="楷体"/>
          <w:sz w:val="32"/>
          <w:szCs w:val="32"/>
        </w:rPr>
      </w:pPr>
      <w:r>
        <w:rPr>
          <w:rFonts w:hint="eastAsia" w:ascii="楷体" w:hAnsi="楷体" w:eastAsia="楷体"/>
          <w:sz w:val="32"/>
          <w:szCs w:val="32"/>
        </w:rPr>
        <w:t>（一）机关运行经费（行政单位、参照公务员法管理的事业单位需说明，其他单位不需要说明）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cs="仿宋_GB2312"/>
          <w:sz w:val="32"/>
          <w:szCs w:val="32"/>
        </w:rPr>
        <w:t>2022年中共三亚市纪委的机关运行经费预算411.82</w:t>
      </w:r>
      <w:r>
        <w:rPr>
          <w:rFonts w:hint="eastAsia" w:ascii="仿宋_GB2312" w:hAnsi="黑体" w:eastAsia="仿宋_GB2312"/>
          <w:sz w:val="32"/>
          <w:szCs w:val="32"/>
        </w:rPr>
        <w:t>万元。</w:t>
      </w:r>
    </w:p>
    <w:p>
      <w:pPr>
        <w:spacing w:line="560" w:lineRule="exact"/>
        <w:ind w:firstLine="640" w:firstLineChars="200"/>
        <w:rPr>
          <w:rFonts w:ascii="楷体" w:hAnsi="楷体" w:eastAsia="楷体"/>
          <w:sz w:val="32"/>
          <w:szCs w:val="32"/>
        </w:rPr>
      </w:pPr>
      <w:r>
        <w:rPr>
          <w:rFonts w:hint="eastAsia" w:ascii="楷体" w:hAnsi="楷体" w:eastAsia="楷体"/>
          <w:sz w:val="32"/>
          <w:szCs w:val="32"/>
        </w:rPr>
        <w:t>（二）政府采购情况</w:t>
      </w:r>
    </w:p>
    <w:p>
      <w:pPr>
        <w:spacing w:line="560" w:lineRule="exact"/>
        <w:ind w:firstLine="640"/>
        <w:rPr>
          <w:rFonts w:ascii="仿宋_GB2312" w:hAnsi="黑体" w:eastAsia="仿宋_GB2312"/>
          <w:sz w:val="32"/>
          <w:szCs w:val="32"/>
        </w:rPr>
      </w:pPr>
      <w:r>
        <w:rPr>
          <w:rFonts w:hint="eastAsia" w:ascii="仿宋_GB2312" w:hAnsi="黑体" w:eastAsia="仿宋_GB2312" w:cs="仿宋_GB2312"/>
          <w:sz w:val="32"/>
          <w:szCs w:val="32"/>
        </w:rPr>
        <w:t>2022</w:t>
      </w:r>
      <w:r>
        <w:rPr>
          <w:rFonts w:hint="eastAsia" w:ascii="仿宋_GB2312" w:hAnsi="黑体" w:eastAsia="仿宋_GB2312"/>
          <w:sz w:val="32"/>
          <w:szCs w:val="32"/>
        </w:rPr>
        <w:t>年</w:t>
      </w:r>
      <w:r>
        <w:rPr>
          <w:rFonts w:hint="eastAsia" w:ascii="仿宋_GB2312" w:hAnsi="黑体" w:eastAsia="仿宋_GB2312" w:cs="仿宋_GB2312"/>
          <w:sz w:val="32"/>
          <w:szCs w:val="32"/>
        </w:rPr>
        <w:t>中共三亚市纪委政府采购预算总额118.2</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118.2</w:t>
      </w:r>
      <w:r>
        <w:rPr>
          <w:rFonts w:hint="eastAsia" w:ascii="仿宋_GB2312" w:hAnsi="黑体" w:eastAsia="仿宋_GB2312"/>
          <w:sz w:val="32"/>
          <w:szCs w:val="32"/>
        </w:rPr>
        <w:t>万元。</w:t>
      </w:r>
    </w:p>
    <w:p>
      <w:pPr>
        <w:spacing w:line="560" w:lineRule="exact"/>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spacing w:line="560" w:lineRule="exact"/>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截至2021</w:t>
      </w:r>
      <w:r>
        <w:rPr>
          <w:rFonts w:hint="eastAsia" w:ascii="仿宋_GB2312" w:hAnsi="黑体" w:eastAsia="仿宋_GB2312"/>
          <w:sz w:val="32"/>
          <w:szCs w:val="32"/>
        </w:rPr>
        <w:t>年12月31日，</w:t>
      </w:r>
      <w:r>
        <w:rPr>
          <w:rFonts w:hint="eastAsia" w:ascii="仿宋_GB2312" w:hAnsi="黑体" w:eastAsia="仿宋_GB2312" w:cs="仿宋_GB2312"/>
          <w:sz w:val="32"/>
          <w:szCs w:val="32"/>
        </w:rPr>
        <w:t>中共三亚市纪委共有车辆32辆，其中，领导干部用车0辆，机要通信应急用车0辆、一般执法执勤用车32辆、特种专业技术用车0辆、其他用车0辆。单位价值100万元以上设备0台（套）。</w:t>
      </w:r>
    </w:p>
    <w:p>
      <w:pPr>
        <w:spacing w:line="560" w:lineRule="exact"/>
        <w:ind w:firstLine="640" w:firstLineChars="200"/>
        <w:rPr>
          <w:rFonts w:ascii="楷体" w:hAnsi="楷体" w:eastAsia="楷体"/>
          <w:sz w:val="32"/>
          <w:szCs w:val="32"/>
        </w:rPr>
      </w:pPr>
      <w:r>
        <w:rPr>
          <w:rFonts w:hint="eastAsia" w:ascii="楷体" w:hAnsi="楷体" w:eastAsia="楷体"/>
          <w:sz w:val="32"/>
          <w:szCs w:val="32"/>
        </w:rPr>
        <w:t>（四）绩效目标设置情况</w:t>
      </w:r>
    </w:p>
    <w:p>
      <w:pPr>
        <w:spacing w:line="560" w:lineRule="exact"/>
        <w:ind w:firstLine="640" w:firstLineChars="200"/>
        <w:rPr>
          <w:rFonts w:ascii="仿宋_GB2312" w:hAnsi="黑体" w:eastAsia="仿宋_GB2312"/>
          <w:sz w:val="32"/>
          <w:szCs w:val="32"/>
        </w:rPr>
      </w:pPr>
      <w:r>
        <w:rPr>
          <w:rFonts w:hint="eastAsia" w:ascii="仿宋_GB2312" w:hAnsi="黑体" w:eastAsia="仿宋_GB2312" w:cs="仿宋_GB2312"/>
          <w:sz w:val="32"/>
          <w:szCs w:val="32"/>
        </w:rPr>
        <w:t>2022年中共三亚市纪委15个项目实行绩效目标管理，涉及一般公共预算9809.51万元</w:t>
      </w:r>
      <w:r>
        <w:rPr>
          <w:rFonts w:hint="eastAsia" w:ascii="仿宋_GB2312" w:hAnsi="黑体" w:eastAsia="仿宋_GB2312"/>
          <w:sz w:val="32"/>
          <w:szCs w:val="32"/>
        </w:rPr>
        <w:t>。</w:t>
      </w:r>
    </w:p>
    <w:p>
      <w:pPr>
        <w:spacing w:line="560" w:lineRule="exact"/>
        <w:jc w:val="center"/>
        <w:rPr>
          <w:rFonts w:ascii="黑体" w:hAnsi="黑体" w:eastAsia="黑体"/>
          <w:sz w:val="32"/>
          <w:szCs w:val="32"/>
        </w:rPr>
      </w:pPr>
    </w:p>
    <w:p>
      <w:pPr>
        <w:spacing w:line="560" w:lineRule="exact"/>
        <w:jc w:val="left"/>
        <w:rPr>
          <w:rFonts w:ascii="仿宋_GB2312" w:hAnsi="宋体" w:eastAsia="仿宋_GB2312" w:cs="宋体"/>
          <w:color w:val="000000"/>
          <w:kern w:val="0"/>
          <w:sz w:val="32"/>
          <w:szCs w:val="30"/>
        </w:rPr>
      </w:pPr>
    </w:p>
    <w:p>
      <w:pPr>
        <w:spacing w:line="560" w:lineRule="exact"/>
        <w:jc w:val="center"/>
        <w:rPr>
          <w:rFonts w:ascii="黑体" w:hAnsi="黑体" w:eastAsia="黑体"/>
          <w:b/>
          <w:sz w:val="32"/>
          <w:szCs w:val="32"/>
        </w:rPr>
      </w:pPr>
      <w:r>
        <w:rPr>
          <w:rFonts w:hint="eastAsia" w:ascii="黑体" w:hAnsi="黑体" w:eastAsia="黑体"/>
          <w:b/>
          <w:sz w:val="32"/>
          <w:szCs w:val="32"/>
        </w:rPr>
        <w:t>第四部分  名词解释</w:t>
      </w:r>
    </w:p>
    <w:p>
      <w:pPr>
        <w:spacing w:line="560" w:lineRule="exact"/>
        <w:ind w:firstLine="640" w:firstLineChars="200"/>
        <w:jc w:val="left"/>
        <w:rPr>
          <w:rFonts w:ascii="仿宋_GB2312" w:eastAsia="仿宋_GB2312" w:cs="宋体"/>
          <w:bCs/>
          <w:color w:val="000000"/>
          <w:kern w:val="0"/>
          <w:sz w:val="32"/>
          <w:szCs w:val="32"/>
          <w:lang w:val="zh-CN"/>
        </w:rPr>
      </w:pPr>
    </w:p>
    <w:p>
      <w:pPr>
        <w:spacing w:line="56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spacing w:line="56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spacing w:line="56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spacing w:line="56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spacing w:line="56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spacing w:line="56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spacing w:line="56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spacing w:line="56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spacing w:line="56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spacing w:line="56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spacing w:line="56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spacing w:line="56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spacing w:line="560" w:lineRule="exact"/>
        <w:ind w:firstLine="640" w:firstLineChars="200"/>
        <w:jc w:val="left"/>
        <w:rPr>
          <w:rFonts w:ascii="仿宋_GB2312" w:hAnsi="宋体" w:eastAsia="仿宋_GB2312" w:cs="宋体"/>
          <w:color w:val="000000"/>
          <w:kern w:val="0"/>
          <w:sz w:val="32"/>
          <w:szCs w:val="30"/>
        </w:rPr>
      </w:pPr>
    </w:p>
    <w:p>
      <w:pPr>
        <w:spacing w:line="560" w:lineRule="exact"/>
        <w:ind w:firstLine="640" w:firstLineChars="200"/>
        <w:rPr>
          <w:rFonts w:ascii="仿宋_GB2312" w:hAnsi="黑体" w:eastAsia="仿宋_GB2312" w:cs="仿宋_GB2312"/>
          <w:sz w:val="32"/>
          <w:szCs w:val="32"/>
        </w:rPr>
      </w:pPr>
    </w:p>
    <w:p>
      <w:pPr>
        <w:spacing w:line="560" w:lineRule="exact"/>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C180B1B"/>
    <w:multiLevelType w:val="multilevel"/>
    <w:tmpl w:val="1C180B1B"/>
    <w:lvl w:ilvl="0" w:tentative="0">
      <w:start w:val="1"/>
      <w:numFmt w:val="japaneseCounting"/>
      <w:lvlText w:val="%1、"/>
      <w:lvlJc w:val="left"/>
      <w:pPr>
        <w:ind w:left="1440" w:hanging="720"/>
      </w:pPr>
      <w:rPr>
        <w:rFonts w:hint="default"/>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2">
    <w:nsid w:val="2E0F23F2"/>
    <w:multiLevelType w:val="multilevel"/>
    <w:tmpl w:val="2E0F23F2"/>
    <w:lvl w:ilvl="0" w:tentative="0">
      <w:start w:val="1"/>
      <w:numFmt w:val="decimal"/>
      <w:lvlText w:val="%1."/>
      <w:lvlJc w:val="left"/>
      <w:pPr>
        <w:ind w:left="1160" w:hanging="360"/>
      </w:pPr>
      <w:rPr>
        <w:rFonts w:hint="default"/>
      </w:rPr>
    </w:lvl>
    <w:lvl w:ilvl="1" w:tentative="0">
      <w:start w:val="1"/>
      <w:numFmt w:val="lowerLetter"/>
      <w:lvlText w:val="%2)"/>
      <w:lvlJc w:val="left"/>
      <w:pPr>
        <w:ind w:left="1640" w:hanging="420"/>
      </w:pPr>
    </w:lvl>
    <w:lvl w:ilvl="2" w:tentative="0">
      <w:start w:val="1"/>
      <w:numFmt w:val="lowerRoman"/>
      <w:lvlText w:val="%3."/>
      <w:lvlJc w:val="right"/>
      <w:pPr>
        <w:ind w:left="2060" w:hanging="420"/>
      </w:pPr>
    </w:lvl>
    <w:lvl w:ilvl="3" w:tentative="0">
      <w:start w:val="1"/>
      <w:numFmt w:val="decimal"/>
      <w:lvlText w:val="%4."/>
      <w:lvlJc w:val="left"/>
      <w:pPr>
        <w:ind w:left="2480" w:hanging="420"/>
      </w:pPr>
    </w:lvl>
    <w:lvl w:ilvl="4" w:tentative="0">
      <w:start w:val="1"/>
      <w:numFmt w:val="lowerLetter"/>
      <w:lvlText w:val="%5)"/>
      <w:lvlJc w:val="left"/>
      <w:pPr>
        <w:ind w:left="2900" w:hanging="420"/>
      </w:pPr>
    </w:lvl>
    <w:lvl w:ilvl="5" w:tentative="0">
      <w:start w:val="1"/>
      <w:numFmt w:val="lowerRoman"/>
      <w:lvlText w:val="%6."/>
      <w:lvlJc w:val="right"/>
      <w:pPr>
        <w:ind w:left="3320" w:hanging="420"/>
      </w:pPr>
    </w:lvl>
    <w:lvl w:ilvl="6" w:tentative="0">
      <w:start w:val="1"/>
      <w:numFmt w:val="decimal"/>
      <w:lvlText w:val="%7."/>
      <w:lvlJc w:val="left"/>
      <w:pPr>
        <w:ind w:left="3740" w:hanging="420"/>
      </w:pPr>
    </w:lvl>
    <w:lvl w:ilvl="7" w:tentative="0">
      <w:start w:val="1"/>
      <w:numFmt w:val="lowerLetter"/>
      <w:lvlText w:val="%8)"/>
      <w:lvlJc w:val="left"/>
      <w:pPr>
        <w:ind w:left="4160" w:hanging="420"/>
      </w:pPr>
    </w:lvl>
    <w:lvl w:ilvl="8" w:tentative="0">
      <w:start w:val="1"/>
      <w:numFmt w:val="lowerRoman"/>
      <w:lvlText w:val="%9."/>
      <w:lvlJc w:val="right"/>
      <w:pPr>
        <w:ind w:left="45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4DFA"/>
    <w:rsid w:val="00152040"/>
    <w:rsid w:val="001E7928"/>
    <w:rsid w:val="003E6DA5"/>
    <w:rsid w:val="00452E57"/>
    <w:rsid w:val="004D5474"/>
    <w:rsid w:val="005C1D2A"/>
    <w:rsid w:val="005E6A48"/>
    <w:rsid w:val="006C4135"/>
    <w:rsid w:val="006D5AA4"/>
    <w:rsid w:val="006F792E"/>
    <w:rsid w:val="00884580"/>
    <w:rsid w:val="008A4DFA"/>
    <w:rsid w:val="00973C6D"/>
    <w:rsid w:val="00A86FCE"/>
    <w:rsid w:val="00AA5DF6"/>
    <w:rsid w:val="00AB5920"/>
    <w:rsid w:val="00B12F1D"/>
    <w:rsid w:val="00B8364B"/>
    <w:rsid w:val="00BE52AC"/>
    <w:rsid w:val="00E36FD6"/>
    <w:rsid w:val="00E47F99"/>
    <w:rsid w:val="00F34C54"/>
    <w:rsid w:val="76051905"/>
    <w:rsid w:val="7DEBCA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2"/>
    <w:semiHidden/>
    <w:unhideWhenUsed/>
    <w:uiPriority w:val="0"/>
    <w:rPr>
      <w:sz w:val="18"/>
      <w:szCs w:val="18"/>
    </w:rPr>
  </w:style>
  <w:style w:type="paragraph" w:styleId="3">
    <w:name w:val="footer"/>
    <w:basedOn w:val="1"/>
    <w:link w:val="11"/>
    <w:semiHidden/>
    <w:unhideWhenUsed/>
    <w:qFormat/>
    <w:uiPriority w:val="99"/>
    <w:pPr>
      <w:tabs>
        <w:tab w:val="center" w:pos="4153"/>
        <w:tab w:val="right" w:pos="8306"/>
      </w:tabs>
      <w:snapToGrid w:val="0"/>
      <w:jc w:val="left"/>
    </w:pPr>
    <w:rPr>
      <w:sz w:val="18"/>
      <w:szCs w:val="18"/>
    </w:rPr>
  </w:style>
  <w:style w:type="paragraph" w:styleId="4">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uiPriority w:val="99"/>
    <w:pPr>
      <w:widowControl/>
      <w:spacing w:before="100" w:beforeAutospacing="1" w:after="100" w:afterAutospacing="1"/>
      <w:jc w:val="left"/>
    </w:pPr>
    <w:rPr>
      <w:rFonts w:ascii="宋体" w:hAnsi="宋体" w:cs="宋体"/>
      <w:kern w:val="0"/>
      <w:sz w:val="24"/>
      <w:szCs w:val="24"/>
    </w:rPr>
  </w:style>
  <w:style w:type="paragraph" w:customStyle="1" w:styleId="8">
    <w:name w:val="列出段落1"/>
    <w:basedOn w:val="1"/>
    <w:qFormat/>
    <w:uiPriority w:val="34"/>
    <w:pPr>
      <w:ind w:firstLine="420" w:firstLineChars="200"/>
    </w:pPr>
  </w:style>
  <w:style w:type="paragraph" w:customStyle="1" w:styleId="9">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10">
    <w:name w:val="页眉 Char"/>
    <w:basedOn w:val="7"/>
    <w:link w:val="4"/>
    <w:semiHidden/>
    <w:qFormat/>
    <w:uiPriority w:val="99"/>
    <w:rPr>
      <w:sz w:val="18"/>
      <w:szCs w:val="18"/>
    </w:rPr>
  </w:style>
  <w:style w:type="character" w:customStyle="1" w:styleId="11">
    <w:name w:val="页脚 Char"/>
    <w:basedOn w:val="7"/>
    <w:link w:val="3"/>
    <w:semiHidden/>
    <w:qFormat/>
    <w:uiPriority w:val="99"/>
    <w:rPr>
      <w:sz w:val="18"/>
      <w:szCs w:val="18"/>
    </w:rPr>
  </w:style>
  <w:style w:type="character" w:customStyle="1" w:styleId="12">
    <w:name w:val="批注框文本 Char"/>
    <w:basedOn w:val="7"/>
    <w:link w:val="2"/>
    <w:semiHidden/>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80C099D-4FB9-4537-BDA0-F8E16CF3AFDF}">
  <ds:schemaRefs/>
</ds:datastoreItem>
</file>

<file path=docProps/app.xml><?xml version="1.0" encoding="utf-8"?>
<Properties xmlns="http://schemas.openxmlformats.org/officeDocument/2006/extended-properties" xmlns:vt="http://schemas.openxmlformats.org/officeDocument/2006/docPropsVTypes">
  <Template>Normal</Template>
  <Pages>1</Pages>
  <Words>1103</Words>
  <Characters>6288</Characters>
  <Lines>52</Lines>
  <Paragraphs>14</Paragraphs>
  <TotalTime>0</TotalTime>
  <ScaleCrop>false</ScaleCrop>
  <LinksUpToDate>false</LinksUpToDate>
  <CharactersWithSpaces>7377</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2022-02-14T03:44:00Z</dcterms:created>
  <dc:creator>null,null,总收发</dc:creator>
  <cp:lastModifiedBy>梁伟娴</cp:lastModifiedBy>
  <cp:lastPrinted>2022-02-14T07:51:00Z</cp:lastPrinted>
  <dcterms:modified xsi:type="dcterms:W3CDTF">2022-02-15T07:02:11Z</dcterms:modified>
  <dc:title>××年××部门（单位）预算</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