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三亚市现代服务业产业园管理委员会</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6"/>
          <w:szCs w:val="56"/>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sz w:val="24"/>
          <w:szCs w:val="24"/>
        </w:rPr>
      </w:pPr>
    </w:p>
    <w:p>
      <w:pPr>
        <w:jc w:val="center"/>
        <w:rPr>
          <w:rFonts w:hint="eastAsia" w:ascii="黑体" w:hAnsi="黑体" w:eastAsia="黑体"/>
          <w:sz w:val="44"/>
          <w:szCs w:val="44"/>
        </w:rPr>
      </w:pPr>
      <w:r>
        <w:rPr>
          <w:rFonts w:hint="eastAsia" w:ascii="黑体" w:hAnsi="黑体" w:eastAsia="黑体"/>
          <w:sz w:val="44"/>
          <w:szCs w:val="44"/>
        </w:rPr>
        <w:t>目录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sz w:val="24"/>
          <w:szCs w:val="24"/>
        </w:rPr>
      </w:pPr>
    </w:p>
    <w:p>
      <w:pPr>
        <w:pStyle w:val="6"/>
        <w:numPr>
          <w:ilvl w:val="0"/>
          <w:numId w:val="1"/>
        </w:numPr>
        <w:ind w:firstLineChars="0"/>
        <w:jc w:val="left"/>
        <w:outlineLvl w:val="9"/>
        <w:rPr>
          <w:rFonts w:ascii="黑体" w:hAnsi="黑体" w:eastAsia="黑体"/>
          <w:sz w:val="32"/>
          <w:szCs w:val="32"/>
        </w:rPr>
      </w:pPr>
      <w:r>
        <w:rPr>
          <w:rFonts w:hint="eastAsia" w:ascii="黑体" w:hAnsi="黑体" w:eastAsia="黑体" w:cs="黑体"/>
          <w:sz w:val="32"/>
          <w:szCs w:val="32"/>
          <w:lang w:val="en-US" w:eastAsia="zh-CN"/>
        </w:rPr>
        <w:t>三亚市现代服务业产业园管理委员会</w:t>
      </w:r>
      <w:r>
        <w:rPr>
          <w:rFonts w:hint="eastAsia" w:ascii="黑体" w:hAnsi="黑体" w:eastAsia="黑体"/>
          <w:sz w:val="32"/>
          <w:szCs w:val="32"/>
        </w:rPr>
        <w:t>概况</w:t>
      </w:r>
    </w:p>
    <w:p>
      <w:pPr>
        <w:pStyle w:val="6"/>
        <w:numPr>
          <w:ilvl w:val="0"/>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6"/>
        <w:numPr>
          <w:ilvl w:val="0"/>
          <w:numId w:val="1"/>
        </w:numPr>
        <w:ind w:firstLineChars="0"/>
        <w:outlineLvl w:val="9"/>
        <w:rPr>
          <w:rFonts w:ascii="黑体" w:hAnsi="黑体" w:eastAsia="黑体"/>
          <w:sz w:val="32"/>
          <w:szCs w:val="32"/>
        </w:rPr>
      </w:pPr>
      <w:r>
        <w:rPr>
          <w:rFonts w:hint="eastAsia" w:ascii="黑体" w:hAnsi="黑体" w:eastAsia="黑体" w:cs="黑体"/>
          <w:sz w:val="32"/>
          <w:szCs w:val="32"/>
          <w:lang w:val="en-US" w:eastAsia="zh-CN"/>
        </w:rPr>
        <w:t>三亚市现代服务业产业园管理委员会</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6"/>
        <w:numPr>
          <w:ilvl w:val="0"/>
          <w:numId w:val="0"/>
        </w:numPr>
        <w:ind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九、单位</w:t>
      </w:r>
      <w:r>
        <w:rPr>
          <w:rFonts w:hint="eastAsia" w:ascii="仿宋_GB2312" w:hAnsi="仿宋_GB2312" w:eastAsia="仿宋_GB2312" w:cs="仿宋_GB2312"/>
          <w:sz w:val="32"/>
          <w:szCs w:val="32"/>
        </w:rPr>
        <w:t>支出总表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9"/>
        <w:rPr>
          <w:rFonts w:ascii="仿宋_GB2312" w:hAnsi="仿宋_GB2312" w:eastAsia="仿宋_GB2312" w:cs="仿宋_GB2312"/>
          <w:sz w:val="32"/>
          <w:szCs w:val="32"/>
        </w:rPr>
      </w:pPr>
      <w:r>
        <w:rPr>
          <w:rFonts w:hint="eastAsia" w:ascii="黑体" w:hAnsi="黑体" w:eastAsia="黑体" w:cs="黑体"/>
          <w:sz w:val="32"/>
          <w:szCs w:val="32"/>
          <w:lang w:val="en-US" w:eastAsia="zh-CN"/>
        </w:rPr>
        <w:t>三亚市现代服务业产业园管理委员会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outlineLvl w:val="9"/>
        <w:rPr>
          <w:rFonts w:ascii="仿宋_GB2312" w:hAnsi="仿宋_GB2312" w:eastAsia="仿宋_GB2312"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hint="eastAsia" w:ascii="黑体" w:hAnsi="黑体" w:eastAsia="黑体"/>
          <w:sz w:val="32"/>
          <w:szCs w:val="32"/>
          <w:lang w:val="en-US" w:eastAsia="zh-CN"/>
        </w:rPr>
        <w:sectPr>
          <w:pgSz w:w="11906" w:h="16838"/>
          <w:pgMar w:top="1440" w:right="1800" w:bottom="1440" w:left="1800" w:header="851" w:footer="992" w:gutter="0"/>
          <w:cols w:space="720" w:num="1"/>
          <w:docGrid w:type="lines" w:linePitch="312" w:charSpace="0"/>
        </w:sectPr>
      </w:pP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ascii="仿宋_GB2312" w:hAnsi="仿宋_GB2312" w:eastAsia="仿宋_GB2312" w:cs="仿宋_GB2312"/>
          <w:sz w:val="32"/>
          <w:szCs w:val="32"/>
        </w:rPr>
      </w:pPr>
      <w:r>
        <w:rPr>
          <w:rFonts w:hint="eastAsia" w:ascii="黑体" w:hAnsi="黑体" w:eastAsia="黑体"/>
          <w:sz w:val="32"/>
          <w:szCs w:val="32"/>
          <w:lang w:val="en-US" w:eastAsia="zh-CN"/>
        </w:rPr>
        <w:t xml:space="preserve">第一部分  </w:t>
      </w:r>
      <w:r>
        <w:rPr>
          <w:rFonts w:hint="eastAsia" w:ascii="黑体" w:hAnsi="黑体" w:eastAsia="黑体"/>
          <w:sz w:val="32"/>
          <w:szCs w:val="32"/>
        </w:rPr>
        <w:t>三亚市现代服务业产业园管理委员会</w:t>
      </w:r>
      <w:r>
        <w:rPr>
          <w:rFonts w:hint="eastAsia" w:ascii="黑体" w:hAnsi="黑体" w:eastAsia="黑体"/>
          <w:sz w:val="32"/>
          <w:szCs w:val="32"/>
          <w:lang w:eastAsia="zh-CN"/>
        </w:rPr>
        <w:t>（单位）</w:t>
      </w:r>
      <w:r>
        <w:rPr>
          <w:rFonts w:hint="eastAsia" w:ascii="黑体" w:hAnsi="黑体" w:eastAsia="黑体"/>
          <w:sz w:val="32"/>
          <w:szCs w:val="32"/>
        </w:rPr>
        <w:t>概况</w:t>
      </w:r>
    </w:p>
    <w:p>
      <w:pPr>
        <w:pStyle w:val="6"/>
        <w:numPr>
          <w:ilvl w:val="0"/>
          <w:numId w:val="2"/>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负责贯彻实施国家、省、市发展现代服务业的法律和有关规定；坚持现代服务业发展的正确方向，负责各项优惠政策的落实，为现代服务业的发展创造良好的环境</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负责在国家产业政策和整体规划指导下，制定海棠湾区内的建设规划和产业发展计划，新城区的开发建设，在市总体规划红线范围内的土地开发、批零、转让等工作；</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负责审批和管理区内的固定资产投资项目；</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负责审查进入开发区的企业资格；</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负责辖区内的统计工作；</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行使市政府授予的其他职权</w:t>
      </w:r>
      <w:r>
        <w:rPr>
          <w:rFonts w:hint="eastAsia" w:ascii="仿宋_GB2312" w:hAnsi="黑体" w:eastAsia="仿宋_GB2312" w:cs="仿宋_GB2312"/>
          <w:sz w:val="32"/>
          <w:szCs w:val="32"/>
          <w:lang w:eastAsia="zh-CN"/>
        </w:rPr>
        <w:t>。</w:t>
      </w:r>
    </w:p>
    <w:p>
      <w:pPr>
        <w:pStyle w:val="6"/>
        <w:numPr>
          <w:ilvl w:val="0"/>
          <w:numId w:val="2"/>
        </w:numPr>
        <w:ind w:firstLineChars="0"/>
        <w:jc w:val="left"/>
        <w:outlineLvl w:val="1"/>
        <w:rPr>
          <w:rFonts w:hint="eastAsia" w:ascii="黑体" w:hAnsi="黑体" w:eastAsia="黑体" w:cs="仿宋_GB2312"/>
          <w:sz w:val="32"/>
          <w:szCs w:val="32"/>
        </w:rPr>
      </w:pPr>
      <w:r>
        <w:rPr>
          <w:rFonts w:hint="eastAsia" w:ascii="黑体" w:hAnsi="黑体" w:eastAsia="黑体" w:cs="仿宋_GB2312"/>
          <w:sz w:val="32"/>
          <w:szCs w:val="32"/>
          <w:lang w:eastAsia="zh-CN"/>
        </w:rPr>
        <w:t>机构设置（内设科室）</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1.党政办公室；</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2.规划建设局；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3.招商服务局；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4.项目建设</w:t>
      </w:r>
      <w:bookmarkStart w:id="0" w:name="_GoBack"/>
      <w:bookmarkEnd w:id="0"/>
      <w:r>
        <w:rPr>
          <w:rFonts w:hint="eastAsia" w:ascii="仿宋_GB2312" w:hAnsi="黑体" w:eastAsia="仿宋_GB2312" w:cs="仿宋_GB2312"/>
          <w:kern w:val="2"/>
          <w:sz w:val="32"/>
          <w:szCs w:val="32"/>
          <w:lang w:val="en-US" w:eastAsia="zh-CN" w:bidi="ar-SA"/>
        </w:rPr>
        <w:t>管理办公室；</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hint="eastAsia" w:ascii="黑体" w:hAnsi="黑体" w:eastAsia="黑体"/>
          <w:sz w:val="32"/>
          <w:szCs w:val="32"/>
          <w:lang w:val="en-US" w:eastAsia="zh-CN"/>
        </w:rPr>
      </w:pPr>
      <w:r>
        <w:rPr>
          <w:rFonts w:hint="eastAsia" w:ascii="黑体" w:hAnsi="黑体" w:eastAsia="黑体"/>
          <w:sz w:val="32"/>
          <w:szCs w:val="32"/>
          <w:lang w:val="en-US" w:eastAsia="zh-CN"/>
        </w:rPr>
        <w:t>第二部分  三亚市现代服务业产业园管理委员会2022年单位预算表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hint="eastAsia" w:ascii="黑体" w:hAnsi="黑体" w:eastAsia="黑体"/>
          <w:sz w:val="32"/>
          <w:szCs w:val="32"/>
          <w:lang w:val="en-US" w:eastAsia="zh-CN"/>
        </w:rPr>
      </w:pPr>
      <w:r>
        <w:rPr>
          <w:rFonts w:hint="eastAsia" w:ascii="黑体" w:hAnsi="黑体" w:eastAsia="黑体"/>
          <w:sz w:val="32"/>
          <w:szCs w:val="32"/>
          <w:lang w:val="en-US" w:eastAsia="zh-CN"/>
        </w:rPr>
        <w:t>第三部分  三亚市现代服务业产业园管理委员会2022年单位预算情况说明</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sz w:val="32"/>
          <w:szCs w:val="32"/>
        </w:rPr>
      </w:pPr>
      <w:r>
        <w:rPr>
          <w:rFonts w:hint="eastAsia" w:ascii="黑体" w:hAnsi="黑体" w:eastAsia="黑体"/>
          <w:sz w:val="32"/>
          <w:szCs w:val="32"/>
        </w:rPr>
        <w:t>一、关于三亚市现代服务业产业园管理委员会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kern w:val="2"/>
          <w:sz w:val="32"/>
          <w:szCs w:val="32"/>
          <w:lang w:val="en-US" w:eastAsia="zh-CN" w:bidi="ar-SA"/>
        </w:rPr>
        <w:t>（单位）2022年财政拨款收支总预算4,411.16万元。其中，收入总计2,205.58万元，包括一般公共预算本年收入1,834.22万元、上年结转0.00万元，政府性基金预算本年收入0.00万元、上年结转371.37万元；支出总计2,205.58万元，包括一般公共服务支出482.52万元、社会保障和就业支出49.30万元、卫生健康支出62.19万元、城乡社区支出1,571.37万元、住房保障支出40.21万元、结转下年0.00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sz w:val="32"/>
          <w:szCs w:val="32"/>
        </w:rPr>
      </w:pPr>
      <w:r>
        <w:rPr>
          <w:rFonts w:hint="eastAsia" w:ascii="黑体" w:hAnsi="黑体" w:eastAsia="黑体"/>
          <w:sz w:val="32"/>
          <w:szCs w:val="32"/>
        </w:rPr>
        <w:t>二、关于三亚市现代服务业产业园管理委员会</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both"/>
        <w:outlineLvl w:val="2"/>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kern w:val="2"/>
          <w:sz w:val="32"/>
          <w:szCs w:val="32"/>
          <w:lang w:val="en-US" w:eastAsia="zh-CN" w:bidi="ar-SA"/>
        </w:rPr>
        <w:t>（单位）2022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1,834.22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247.09</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城乡社区</w:t>
      </w:r>
      <w:r>
        <w:rPr>
          <w:rFonts w:hint="eastAsia" w:ascii="仿宋_GB2312" w:hAnsi="黑体" w:eastAsia="仿宋_GB2312"/>
          <w:sz w:val="32"/>
          <w:szCs w:val="32"/>
        </w:rPr>
        <w:t>支出</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482.52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26.31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49.30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2.69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卫生健康</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62.19</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3.39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1,200.00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65.42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住房保障</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40.21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2.19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1.一般公共服务（类）政府办公厅</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室</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及相关机构事务（款）行政运行（项）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482.52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增加25.85</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增加7.48</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增加3.97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增加4.46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w:t>
      </w:r>
      <w:r>
        <w:rPr>
          <w:rFonts w:hint="eastAsia" w:ascii="仿宋_GB2312" w:hAnsi="黑体" w:eastAsia="仿宋_GB2312" w:cs="仿宋_GB2312"/>
          <w:sz w:val="32"/>
          <w:szCs w:val="32"/>
        </w:rPr>
        <w:t>（类）城乡社区管理事务（款）一般行政管理事务（项）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1,200.00</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val="en-US" w:eastAsia="zh-CN"/>
        </w:rPr>
        <w:t>增加200</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增加5.34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sz w:val="32"/>
          <w:szCs w:val="32"/>
        </w:rPr>
      </w:pPr>
      <w:r>
        <w:rPr>
          <w:rFonts w:hint="eastAsia" w:ascii="黑体" w:hAnsi="黑体" w:eastAsia="黑体"/>
          <w:sz w:val="32"/>
          <w:szCs w:val="32"/>
        </w:rPr>
        <w:t>三、关于三亚市现代服务业产业园管理委员会</w:t>
      </w:r>
      <w:r>
        <w:rPr>
          <w:rFonts w:hint="eastAsia" w:ascii="黑体" w:hAnsi="黑体" w:eastAsia="黑体"/>
          <w:sz w:val="32"/>
          <w:szCs w:val="32"/>
          <w:lang w:eastAsia="zh-CN"/>
        </w:rPr>
        <w:t>（单位）</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634.22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588.05</w:t>
      </w:r>
      <w:r>
        <w:rPr>
          <w:rFonts w:hint="eastAsia" w:ascii="仿宋_GB2312" w:hAnsi="黑体" w:eastAsia="仿宋_GB2312"/>
          <w:sz w:val="32"/>
          <w:szCs w:val="32"/>
        </w:rPr>
        <w:t>万元，主要包括：津贴补贴</w:t>
      </w:r>
      <w:r>
        <w:rPr>
          <w:rFonts w:hint="eastAsia" w:ascii="仿宋_GB2312" w:hAnsi="黑体" w:eastAsia="仿宋_GB2312"/>
          <w:sz w:val="32"/>
          <w:szCs w:val="32"/>
          <w:lang w:eastAsia="zh-CN"/>
        </w:rPr>
        <w:t>、</w:t>
      </w:r>
      <w:r>
        <w:rPr>
          <w:rFonts w:hint="eastAsia" w:ascii="仿宋_GB2312" w:hAnsi="黑体" w:eastAsia="仿宋_GB2312"/>
          <w:sz w:val="32"/>
          <w:szCs w:val="32"/>
        </w:rPr>
        <w:t>基本工资、奖金、</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住房公积金、商品和服务支出；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46.17</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、对个人和家庭的补助</w:t>
      </w:r>
      <w:r>
        <w:rPr>
          <w:rFonts w:hint="eastAsia" w:ascii="仿宋_GB2312" w:hAnsi="黑体" w:eastAsia="仿宋_GB2312"/>
          <w:sz w:val="32"/>
          <w:szCs w:val="32"/>
        </w:rPr>
        <w:t>、培训费、公务用车运行维护费。</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四、三亚市现代服务业产业园管理委员会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（一）三亚市现代服务业产业园管理委员会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4.72</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1.81万</w:t>
      </w:r>
      <w:r>
        <w:rPr>
          <w:rFonts w:hint="eastAsia" w:ascii="仿宋_GB2312" w:hAnsi="黑体" w:eastAsia="仿宋_GB2312"/>
          <w:sz w:val="32"/>
          <w:szCs w:val="32"/>
        </w:rPr>
        <w:t>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w:t>
      </w:r>
      <w:r>
        <w:rPr>
          <w:rFonts w:hint="eastAsia" w:ascii="Times New Roman" w:hAnsi="Times New Roman" w:eastAsia="仿宋_GB2312" w:cs="Times New Roman"/>
          <w:sz w:val="32"/>
          <w:highlight w:val="none"/>
          <w:shd w:val="clear" w:color="auto" w:fill="FFFFFF"/>
        </w:rPr>
        <w:t>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2.91</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numPr>
          <w:ilvl w:val="0"/>
          <w:numId w:val="3"/>
        </w:numPr>
        <w:ind w:firstLine="640" w:firstLineChars="200"/>
        <w:outlineLvl w:val="2"/>
        <w:rPr>
          <w:rFonts w:hint="eastAsia" w:ascii="仿宋_GB2312" w:hAnsi="黑体" w:eastAsia="仿宋_GB2312"/>
          <w:sz w:val="32"/>
          <w:szCs w:val="32"/>
          <w:lang w:eastAsia="zh-CN"/>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highlight w:val="none"/>
          <w:shd w:val="clear" w:color="auto" w:fill="FFFFFF"/>
          <w:lang w:eastAsia="zh-CN"/>
        </w:rPr>
      </w:pPr>
      <w:r>
        <w:rPr>
          <w:rFonts w:hint="eastAsia"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万元，与上年预算持平；公务用车购置及运行费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万元（其中，公务用车购置费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万元，公务用车运行费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万元），与上年预算持平</w:t>
      </w:r>
      <w:r>
        <w:rPr>
          <w:rFonts w:hint="eastAsia"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sz w:val="32"/>
          <w:highlight w:val="none"/>
          <w:shd w:val="clear" w:color="auto" w:fill="FFFFFF"/>
        </w:rPr>
        <w:t>公务接待费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万元，与上年预算持平。</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五、关于三亚市现代服务业产业园管理委员会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r>
        <w:rPr>
          <w:rFonts w:hint="eastAsia" w:ascii="仿宋_GB2312" w:hAnsi="黑体" w:eastAsia="仿宋_GB2312" w:cs="仿宋_GB2312"/>
          <w:kern w:val="2"/>
          <w:sz w:val="32"/>
          <w:szCs w:val="32"/>
          <w:lang w:val="en-US" w:eastAsia="zh-CN" w:bidi="ar-SA"/>
        </w:rPr>
        <w:t>政府性基金预算上年结转371.37万元，</w:t>
      </w:r>
      <w:r>
        <w:rPr>
          <w:rFonts w:hint="eastAsia" w:ascii="仿宋_GB2312" w:hAnsi="黑体" w:eastAsia="仿宋_GB2312"/>
          <w:sz w:val="32"/>
          <w:szCs w:val="32"/>
        </w:rPr>
        <w:t>比</w:t>
      </w:r>
      <w:r>
        <w:rPr>
          <w:rFonts w:hint="eastAsia" w:ascii="仿宋_GB2312" w:hAnsi="黑体" w:eastAsia="仿宋_GB2312" w:cs="仿宋_GB2312"/>
          <w:kern w:val="2"/>
          <w:sz w:val="32"/>
          <w:szCs w:val="32"/>
          <w:lang w:val="en-US" w:eastAsia="zh-CN" w:bidi="ar-SA"/>
        </w:rPr>
        <w:t>上年结转</w:t>
      </w:r>
      <w:r>
        <w:rPr>
          <w:rFonts w:hint="eastAsia" w:ascii="仿宋_GB2312" w:hAnsi="黑体" w:eastAsia="仿宋_GB2312"/>
          <w:sz w:val="32"/>
          <w:szCs w:val="32"/>
        </w:rPr>
        <w:t>数</w:t>
      </w:r>
      <w:r>
        <w:rPr>
          <w:rFonts w:hint="eastAsia" w:ascii="仿宋_GB2312" w:hAnsi="黑体" w:eastAsia="仿宋_GB2312" w:cs="仿宋_GB2312"/>
          <w:sz w:val="32"/>
          <w:szCs w:val="32"/>
        </w:rPr>
        <w:t>增加</w:t>
      </w:r>
      <w:r>
        <w:rPr>
          <w:rFonts w:hint="eastAsia" w:ascii="仿宋_GB2312" w:hAnsi="黑体" w:eastAsia="仿宋_GB2312" w:cs="仿宋_GB2312"/>
          <w:kern w:val="2"/>
          <w:sz w:val="32"/>
          <w:szCs w:val="32"/>
          <w:lang w:val="en-US" w:eastAsia="zh-CN" w:bidi="ar-SA"/>
        </w:rPr>
        <w:t>371.37万元。</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w:t>
      </w:r>
      <w:r>
        <w:rPr>
          <w:rFonts w:hint="eastAsia" w:ascii="仿宋_GB2312" w:hAnsi="黑体" w:eastAsia="仿宋_GB2312" w:cs="仿宋_GB2312"/>
          <w:kern w:val="2"/>
          <w:sz w:val="32"/>
          <w:szCs w:val="32"/>
          <w:lang w:val="en-US" w:eastAsia="zh-CN" w:bidi="ar-SA"/>
        </w:rPr>
        <w:t>上年结转</w:t>
      </w:r>
      <w:r>
        <w:rPr>
          <w:rFonts w:hint="eastAsia" w:ascii="仿宋_GB2312" w:hAnsi="黑体" w:eastAsia="仿宋_GB2312" w:cs="仿宋_GB2312"/>
          <w:sz w:val="32"/>
          <w:szCs w:val="32"/>
          <w:lang w:val="en-US" w:eastAsia="zh-CN"/>
        </w:rPr>
        <w:t>371.37</w:t>
      </w:r>
      <w:r>
        <w:rPr>
          <w:rFonts w:hint="eastAsia" w:ascii="仿宋_GB2312" w:hAnsi="黑体" w:eastAsia="仿宋_GB2312"/>
          <w:sz w:val="32"/>
          <w:szCs w:val="32"/>
        </w:rPr>
        <w:t>万元</w:t>
      </w:r>
      <w:r>
        <w:rPr>
          <w:rFonts w:hint="eastAsia" w:ascii="仿宋_GB2312" w:hAnsi="黑体" w:eastAsia="仿宋_GB2312" w:cs="仿宋_GB2312"/>
          <w:kern w:val="2"/>
          <w:sz w:val="32"/>
          <w:szCs w:val="32"/>
          <w:lang w:val="en-US" w:eastAsia="zh-CN" w:bidi="ar-SA"/>
        </w:rPr>
        <w:t>用款结构：</w:t>
      </w: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371.37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w:t>
      </w:r>
      <w:r>
        <w:rPr>
          <w:rFonts w:hint="eastAsia" w:ascii="仿宋_GB2312" w:hAnsi="黑体" w:eastAsia="仿宋_GB2312" w:cs="仿宋_GB2312"/>
          <w:kern w:val="2"/>
          <w:sz w:val="32"/>
          <w:szCs w:val="32"/>
          <w:lang w:val="en-US" w:eastAsia="zh-CN" w:bidi="ar-SA"/>
        </w:rPr>
        <w:t>上年结转</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lang w:val="en-US" w:eastAsia="zh-CN"/>
        </w:rPr>
        <w:t>37</w:t>
      </w:r>
      <w:r>
        <w:rPr>
          <w:rFonts w:hint="eastAsia" w:ascii="仿宋_GB2312" w:hAnsi="黑体" w:eastAsia="仿宋_GB2312"/>
          <w:sz w:val="32"/>
          <w:szCs w:val="32"/>
        </w:rPr>
        <w:t>万具体使用情况</w:t>
      </w:r>
      <w:r>
        <w:rPr>
          <w:rFonts w:hint="eastAsia" w:ascii="仿宋_GB2312" w:hAnsi="黑体" w:eastAsia="仿宋_GB2312"/>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1.城乡社区支出（类）国有土地使用权出让收入安排的支出（款）城市建设支出（项）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lang w:val="en-US" w:eastAsia="zh-CN"/>
        </w:rPr>
        <w:t>37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0.00万元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lang w:val="en-US" w:eastAsia="zh-CN"/>
        </w:rPr>
        <w:t>37</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六、关于三亚市现代服务业产业园管理委员会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预算管理。收入包括：一般公共预算收入、政府性基金收入</w:t>
      </w:r>
      <w:r>
        <w:rPr>
          <w:rFonts w:hint="eastAsia" w:ascii="仿宋_GB2312" w:hAnsi="黑体" w:eastAsia="仿宋_GB2312"/>
          <w:sz w:val="32"/>
          <w:szCs w:val="32"/>
        </w:rPr>
        <w:t>；支出包括：一般公共服务支出、社会保障和就业支出、卫生健康支出、城乡社区支出、住房保障支出。三亚市现代服务业产业园管理委员会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年收支总预算4,411.16</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七、关于三亚市现代服务业产业园管理委员会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2,205.58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16.84</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1,834.22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83.16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1,588.13万元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617.45</w:t>
      </w:r>
      <w:r>
        <w:rPr>
          <w:rFonts w:hint="eastAsia" w:ascii="仿宋_GB2312" w:hAnsi="黑体" w:eastAsia="仿宋_GB2312"/>
          <w:sz w:val="32"/>
          <w:szCs w:val="32"/>
          <w:highlight w:val="none"/>
        </w:rPr>
        <w:t>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八、关于三亚市现代服务业产业园管理委员会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kern w:val="2"/>
          <w:sz w:val="32"/>
          <w:szCs w:val="32"/>
          <w:lang w:val="en-US" w:eastAsia="zh-CN" w:bidi="ar-SA"/>
        </w:rPr>
        <w:t>2,205.58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634.22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28.76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71.25</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1,587.73万元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617.85</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46.17</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年三亚市现代服务业产业园管理委员会</w:t>
      </w:r>
      <w:r>
        <w:rPr>
          <w:rFonts w:hint="eastAsia" w:ascii="仿宋_GB2312" w:hAnsi="黑体" w:eastAsia="仿宋_GB2312"/>
          <w:sz w:val="32"/>
          <w:szCs w:val="32"/>
          <w:lang w:eastAsia="zh-CN"/>
        </w:rPr>
        <w:t>（单位）</w:t>
      </w:r>
      <w:r>
        <w:rPr>
          <w:rFonts w:hint="eastAsia" w:ascii="仿宋_GB2312" w:hAnsi="黑体" w:eastAsia="仿宋_GB2312"/>
          <w:sz w:val="32"/>
          <w:szCs w:val="32"/>
        </w:rPr>
        <w:t>政府采购预算总额</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1,834.24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outlineLvl w:val="0"/>
        <w:rPr>
          <w:rFonts w:hint="eastAsia" w:ascii="黑体" w:hAnsi="黑体" w:eastAsia="黑体"/>
          <w:sz w:val="32"/>
          <w:szCs w:val="32"/>
        </w:rPr>
      </w:pPr>
      <w:r>
        <w:rPr>
          <w:rFonts w:hint="eastAsia" w:ascii="黑体" w:hAnsi="黑体" w:eastAsia="黑体"/>
          <w:sz w:val="32"/>
          <w:szCs w:val="32"/>
          <w:lang w:val="en-US" w:eastAsia="zh-CN"/>
        </w:rPr>
        <w:t xml:space="preserve">第四部分  </w:t>
      </w:r>
      <w:r>
        <w:rPr>
          <w:rFonts w:hint="eastAsia" w:ascii="黑体" w:hAnsi="黑体" w:eastAsia="黑体"/>
          <w:sz w:val="32"/>
          <w:szCs w:val="32"/>
        </w:rPr>
        <w:t>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8477191"/>
    <w:multiLevelType w:val="singleLevel"/>
    <w:tmpl w:val="48477191"/>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yNjlkMGRkYmYwNGQ3NDVkYzVjNGI1ZTM1ZjcwOWMifQ=="/>
  </w:docVars>
  <w:rsids>
    <w:rsidRoot w:val="00000000"/>
    <w:rsid w:val="11355059"/>
    <w:rsid w:val="2C6106B8"/>
    <w:rsid w:val="2C721DD4"/>
    <w:rsid w:val="39961510"/>
    <w:rsid w:val="40C4054D"/>
    <w:rsid w:val="44D44ADC"/>
    <w:rsid w:val="50181DA2"/>
    <w:rsid w:val="5835294B"/>
    <w:rsid w:val="5CFF465C"/>
    <w:rsid w:val="60AE2C1F"/>
    <w:rsid w:val="682C4391"/>
    <w:rsid w:val="6AF10850"/>
    <w:rsid w:val="6B8862C1"/>
    <w:rsid w:val="717671F5"/>
    <w:rsid w:val="781D2946"/>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飘零·深海</cp:lastModifiedBy>
  <dcterms:modified xsi:type="dcterms:W3CDTF">2023-09-11T01:49:35Z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CBECC3B8BD86453C96C3A6A4C955024E</vt:lpwstr>
  </property>
</Properties>
</file>