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highlight w:val="none"/>
          <w:u w:val="single"/>
        </w:rPr>
      </w:pPr>
    </w:p>
    <w:p>
      <w:pPr>
        <w:rPr>
          <w:rFonts w:ascii="Times New Roman" w:hAnsi="Times New Roman" w:cs="Times New Roman"/>
          <w:sz w:val="84"/>
          <w:szCs w:val="84"/>
          <w:highlight w:val="none"/>
          <w:u w:val="single"/>
        </w:rPr>
      </w:pPr>
    </w:p>
    <w:p>
      <w:pPr>
        <w:rPr>
          <w:rFonts w:ascii="Times New Roman" w:hAnsi="Times New Roman" w:cs="Times New Roman"/>
          <w:sz w:val="84"/>
          <w:szCs w:val="84"/>
          <w:highlight w:val="none"/>
          <w:u w:val="single"/>
        </w:rPr>
      </w:pPr>
    </w:p>
    <w:p>
      <w:pPr>
        <w:rPr>
          <w:rFonts w:ascii="Times New Roman" w:hAnsi="Times New Roman" w:cs="Times New Roman"/>
          <w:sz w:val="84"/>
          <w:szCs w:val="84"/>
          <w:highlight w:val="none"/>
          <w:u w:val="single"/>
        </w:rPr>
      </w:pPr>
    </w:p>
    <w:p>
      <w:pPr>
        <w:jc w:val="center"/>
        <w:rPr>
          <w:rFonts w:hint="default" w:ascii="Times New Roman" w:hAnsi="Times New Roman" w:cs="Times New Roman" w:eastAsiaTheme="majorEastAsia"/>
          <w:sz w:val="52"/>
          <w:szCs w:val="52"/>
          <w:highlight w:val="none"/>
        </w:rPr>
      </w:pPr>
      <w:r>
        <w:rPr>
          <w:rFonts w:hint="default" w:ascii="Times New Roman" w:hAnsi="Times New Roman" w:cs="Times New Roman" w:eastAsiaTheme="majorEastAsia"/>
          <w:sz w:val="52"/>
          <w:szCs w:val="52"/>
          <w:highlight w:val="none"/>
          <w:lang w:val="en-US" w:eastAsia="zh-CN"/>
        </w:rPr>
        <w:t>2022</w:t>
      </w:r>
      <w:r>
        <w:rPr>
          <w:rFonts w:hint="default" w:ascii="Times New Roman" w:hAnsi="Times New Roman" w:cs="Times New Roman" w:eastAsiaTheme="majorEastAsia"/>
          <w:sz w:val="52"/>
          <w:szCs w:val="52"/>
          <w:highlight w:val="none"/>
        </w:rPr>
        <w:t>年</w:t>
      </w:r>
      <w:r>
        <w:rPr>
          <w:rFonts w:hint="default" w:ascii="Times New Roman" w:hAnsi="Times New Roman" w:cs="Times New Roman" w:eastAsiaTheme="majorEastAsia"/>
          <w:color w:val="auto"/>
          <w:sz w:val="52"/>
          <w:szCs w:val="52"/>
          <w:highlight w:val="none"/>
          <w:lang w:eastAsia="zh-CN"/>
        </w:rPr>
        <w:t>三亚市河长制服务中心</w:t>
      </w:r>
      <w:r>
        <w:rPr>
          <w:rFonts w:hint="default" w:ascii="Times New Roman" w:hAnsi="Times New Roman" w:cs="Times New Roman" w:eastAsiaTheme="majorEastAsia"/>
          <w:sz w:val="52"/>
          <w:szCs w:val="52"/>
          <w:highlight w:val="none"/>
        </w:rPr>
        <w:t>单位预算</w:t>
      </w:r>
    </w:p>
    <w:p>
      <w:pPr>
        <w:ind w:firstLine="1680"/>
        <w:jc w:val="center"/>
        <w:rPr>
          <w:rFonts w:ascii="Times New Roman" w:hAnsi="Times New Roman" w:cs="Times New Roman"/>
          <w:sz w:val="84"/>
          <w:szCs w:val="84"/>
          <w:highlight w:val="none"/>
        </w:rPr>
      </w:pPr>
    </w:p>
    <w:p>
      <w:pPr>
        <w:ind w:firstLine="1680"/>
        <w:jc w:val="center"/>
        <w:rPr>
          <w:rFonts w:ascii="Times New Roman" w:hAnsi="Times New Roman" w:cs="Times New Roman"/>
          <w:sz w:val="84"/>
          <w:szCs w:val="84"/>
          <w:highlight w:val="none"/>
        </w:rPr>
      </w:pPr>
    </w:p>
    <w:p>
      <w:pPr>
        <w:ind w:firstLine="1680"/>
        <w:jc w:val="center"/>
        <w:rPr>
          <w:rFonts w:ascii="Times New Roman" w:hAnsi="Times New Roman" w:cs="Times New Roman"/>
          <w:sz w:val="84"/>
          <w:szCs w:val="84"/>
          <w:highlight w:val="none"/>
        </w:rPr>
      </w:pPr>
    </w:p>
    <w:p>
      <w:pPr>
        <w:ind w:firstLine="1680"/>
        <w:jc w:val="center"/>
        <w:rPr>
          <w:rFonts w:ascii="Times New Roman" w:hAnsi="Times New Roman" w:cs="Times New Roman"/>
          <w:sz w:val="84"/>
          <w:szCs w:val="84"/>
          <w:highlight w:val="none"/>
        </w:rPr>
      </w:pPr>
    </w:p>
    <w:p>
      <w:pPr>
        <w:ind w:firstLine="1680"/>
        <w:jc w:val="center"/>
        <w:rPr>
          <w:rFonts w:ascii="Times New Roman" w:hAnsi="Times New Roman" w:cs="Times New Roman"/>
          <w:sz w:val="84"/>
          <w:szCs w:val="84"/>
          <w:highlight w:val="none"/>
        </w:rPr>
      </w:pPr>
    </w:p>
    <w:p>
      <w:pPr>
        <w:rPr>
          <w:rFonts w:ascii="Times New Roman" w:hAnsi="Times New Roman" w:cs="Times New Roman"/>
          <w:sz w:val="84"/>
          <w:szCs w:val="84"/>
          <w:highlight w:val="none"/>
        </w:rPr>
      </w:pPr>
    </w:p>
    <w:p>
      <w:pPr>
        <w:jc w:val="center"/>
        <w:rPr>
          <w:rFonts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rPr>
        <w:t>目录</w:t>
      </w:r>
    </w:p>
    <w:p>
      <w:pPr>
        <w:pStyle w:val="5"/>
        <w:numPr>
          <w:ilvl w:val="0"/>
          <w:numId w:val="1"/>
        </w:numPr>
        <w:ind w:firstLineChars="0"/>
        <w:jc w:val="left"/>
        <w:rPr>
          <w:rFonts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color w:val="auto"/>
          <w:sz w:val="32"/>
          <w:szCs w:val="32"/>
          <w:highlight w:val="none"/>
          <w:lang w:eastAsia="zh-CN"/>
        </w:rPr>
        <w:t>三亚市河长制服务中心</w:t>
      </w:r>
      <w:r>
        <w:rPr>
          <w:rFonts w:hint="default" w:ascii="Times New Roman" w:hAnsi="Times New Roman" w:eastAsia="黑体" w:cs="Times New Roman"/>
          <w:sz w:val="32"/>
          <w:szCs w:val="32"/>
          <w:highlight w:val="none"/>
        </w:rPr>
        <w:t>概况</w:t>
      </w:r>
    </w:p>
    <w:p>
      <w:pPr>
        <w:pStyle w:val="5"/>
        <w:numPr>
          <w:ilvl w:val="0"/>
          <w:numId w:val="2"/>
        </w:numPr>
        <w:ind w:firstLineChars="0"/>
        <w:jc w:val="left"/>
        <w:rPr>
          <w:rFonts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主要职能</w:t>
      </w:r>
    </w:p>
    <w:p>
      <w:pPr>
        <w:pStyle w:val="5"/>
        <w:numPr>
          <w:ilvl w:val="0"/>
          <w:numId w:val="2"/>
        </w:numPr>
        <w:ind w:firstLineChars="0"/>
        <w:jc w:val="lef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机构设置</w:t>
      </w:r>
    </w:p>
    <w:p>
      <w:pPr>
        <w:pStyle w:val="5"/>
        <w:numPr>
          <w:ilvl w:val="0"/>
          <w:numId w:val="0"/>
        </w:numPr>
        <w:ind w:leftChars="0"/>
        <w:jc w:val="left"/>
        <w:rPr>
          <w:rFonts w:hint="default" w:ascii="Times New Roman" w:hAnsi="Times New Roman" w:eastAsia="黑体" w:cs="Times New Roman"/>
          <w:sz w:val="32"/>
          <w:szCs w:val="32"/>
          <w:highlight w:val="none"/>
        </w:rPr>
      </w:pPr>
      <w:r>
        <w:rPr>
          <w:rFonts w:hint="eastAsia" w:ascii="Times New Roman" w:hAnsi="Times New Roman" w:eastAsia="黑体" w:cs="Times New Roman"/>
          <w:color w:val="auto"/>
          <w:sz w:val="32"/>
          <w:szCs w:val="32"/>
          <w:highlight w:val="none"/>
          <w:lang w:eastAsia="zh-CN"/>
        </w:rPr>
        <w:t>第二部分</w:t>
      </w:r>
      <w:r>
        <w:rPr>
          <w:rFonts w:hint="eastAsia"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sz w:val="32"/>
          <w:szCs w:val="32"/>
          <w:highlight w:val="none"/>
          <w:lang w:eastAsia="zh-CN"/>
        </w:rPr>
        <w:t>三亚市河长制服务中心</w:t>
      </w:r>
      <w:r>
        <w:rPr>
          <w:rFonts w:hint="default" w:ascii="Times New Roman" w:hAnsi="Times New Roman" w:eastAsia="黑体" w:cs="Times New Roman"/>
          <w:sz w:val="32"/>
          <w:szCs w:val="32"/>
          <w:highlight w:val="none"/>
          <w:lang w:val="en-US" w:eastAsia="zh-CN"/>
        </w:rPr>
        <w:t>2022</w:t>
      </w:r>
      <w:r>
        <w:rPr>
          <w:rFonts w:hint="default" w:ascii="Times New Roman" w:hAnsi="Times New Roman" w:eastAsia="黑体" w:cs="Times New Roman"/>
          <w:sz w:val="32"/>
          <w:szCs w:val="32"/>
          <w:highlight w:val="none"/>
        </w:rPr>
        <w:t>年单位预算表</w:t>
      </w:r>
    </w:p>
    <w:p>
      <w:pPr>
        <w:pStyle w:val="5"/>
        <w:numPr>
          <w:ilvl w:val="0"/>
          <w:numId w:val="3"/>
        </w:numPr>
        <w:ind w:firstLineChars="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财政拨款收支总表</w:t>
      </w:r>
    </w:p>
    <w:p>
      <w:pPr>
        <w:pStyle w:val="5"/>
        <w:numPr>
          <w:ilvl w:val="0"/>
          <w:numId w:val="3"/>
        </w:numPr>
        <w:ind w:firstLineChars="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一般公共预算支出表</w:t>
      </w:r>
    </w:p>
    <w:p>
      <w:pPr>
        <w:pStyle w:val="5"/>
        <w:numPr>
          <w:ilvl w:val="0"/>
          <w:numId w:val="3"/>
        </w:numPr>
        <w:ind w:firstLineChars="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一般公共预算基本支出表</w:t>
      </w:r>
    </w:p>
    <w:p>
      <w:pPr>
        <w:pStyle w:val="5"/>
        <w:numPr>
          <w:ilvl w:val="0"/>
          <w:numId w:val="3"/>
        </w:numPr>
        <w:ind w:firstLineChars="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一般公共预算“三公”经费支出表</w:t>
      </w:r>
    </w:p>
    <w:p>
      <w:pPr>
        <w:pStyle w:val="5"/>
        <w:numPr>
          <w:ilvl w:val="0"/>
          <w:numId w:val="3"/>
        </w:numPr>
        <w:ind w:firstLineChars="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政府性基金预算支出表。</w:t>
      </w:r>
    </w:p>
    <w:p>
      <w:pPr>
        <w:pStyle w:val="5"/>
        <w:numPr>
          <w:ilvl w:val="0"/>
          <w:numId w:val="3"/>
        </w:numPr>
        <w:ind w:firstLineChars="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政府性基金预算“三公”经费支出表</w:t>
      </w:r>
    </w:p>
    <w:p>
      <w:pPr>
        <w:pStyle w:val="5"/>
        <w:numPr>
          <w:ilvl w:val="0"/>
          <w:numId w:val="3"/>
        </w:numPr>
        <w:ind w:firstLineChars="0"/>
        <w:jc w:val="left"/>
        <w:rPr>
          <w:rFonts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收支总表</w:t>
      </w:r>
    </w:p>
    <w:p>
      <w:pPr>
        <w:pStyle w:val="5"/>
        <w:numPr>
          <w:ilvl w:val="0"/>
          <w:numId w:val="3"/>
        </w:numPr>
        <w:ind w:firstLineChars="0"/>
        <w:jc w:val="left"/>
        <w:rPr>
          <w:rFonts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收入总表</w:t>
      </w:r>
    </w:p>
    <w:p>
      <w:pPr>
        <w:pStyle w:val="5"/>
        <w:numPr>
          <w:ilvl w:val="0"/>
          <w:numId w:val="3"/>
        </w:numPr>
        <w:ind w:firstLineChars="0"/>
        <w:jc w:val="left"/>
        <w:rPr>
          <w:rFonts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sz w:val="32"/>
          <w:szCs w:val="32"/>
          <w:highlight w:val="none"/>
        </w:rPr>
        <w:t>支出总表</w:t>
      </w:r>
    </w:p>
    <w:p>
      <w:pPr>
        <w:pStyle w:val="5"/>
        <w:numPr>
          <w:ilvl w:val="0"/>
          <w:numId w:val="3"/>
        </w:numPr>
        <w:ind w:firstLineChars="0"/>
        <w:jc w:val="left"/>
        <w:rPr>
          <w:rFonts w:ascii="Times New Roman" w:hAnsi="Times New Roman" w:eastAsia="黑体" w:cs="Times New Roman"/>
          <w:sz w:val="32"/>
          <w:szCs w:val="32"/>
          <w:highlight w:val="none"/>
        </w:rPr>
      </w:pPr>
      <w:r>
        <w:rPr>
          <w:rFonts w:hint="default" w:ascii="Times New Roman" w:hAnsi="Times New Roman" w:eastAsia="仿宋_GB2312" w:cs="Times New Roman"/>
          <w:sz w:val="32"/>
          <w:szCs w:val="32"/>
          <w:highlight w:val="none"/>
        </w:rPr>
        <w:t>项目支出绩效信息表</w:t>
      </w:r>
    </w:p>
    <w:p>
      <w:pPr>
        <w:pStyle w:val="5"/>
        <w:numPr>
          <w:ilvl w:val="0"/>
          <w:numId w:val="0"/>
        </w:numPr>
        <w:ind w:leftChars="0"/>
        <w:jc w:val="left"/>
        <w:rPr>
          <w:rFonts w:ascii="Times New Roman" w:hAnsi="Times New Roman" w:eastAsia="仿宋_GB2312" w:cs="Times New Roman"/>
          <w:sz w:val="32"/>
          <w:szCs w:val="32"/>
          <w:highlight w:val="none"/>
        </w:rPr>
      </w:pPr>
      <w:r>
        <w:rPr>
          <w:rFonts w:hint="eastAsia" w:ascii="Times New Roman" w:hAnsi="Times New Roman" w:eastAsia="黑体" w:cs="Times New Roman"/>
          <w:color w:val="auto"/>
          <w:sz w:val="32"/>
          <w:szCs w:val="32"/>
          <w:highlight w:val="none"/>
          <w:lang w:eastAsia="zh-CN"/>
        </w:rPr>
        <w:t>第三部分</w:t>
      </w:r>
      <w:r>
        <w:rPr>
          <w:rFonts w:hint="eastAsia"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lang w:eastAsia="zh-CN"/>
        </w:rPr>
        <w:t>三亚市河长制服务中心</w:t>
      </w:r>
      <w:r>
        <w:rPr>
          <w:rFonts w:hint="default" w:ascii="Times New Roman" w:hAnsi="Times New Roman" w:eastAsia="黑体" w:cs="Times New Roman"/>
          <w:color w:val="auto"/>
          <w:sz w:val="32"/>
          <w:szCs w:val="32"/>
          <w:highlight w:val="none"/>
          <w:lang w:val="en-US" w:eastAsia="zh-CN"/>
        </w:rPr>
        <w:t>2022年</w:t>
      </w:r>
      <w:r>
        <w:rPr>
          <w:rFonts w:hint="default" w:ascii="Times New Roman" w:hAnsi="Times New Roman" w:eastAsia="黑体" w:cs="Times New Roman"/>
          <w:color w:val="auto"/>
          <w:sz w:val="32"/>
          <w:szCs w:val="32"/>
          <w:highlight w:val="none"/>
        </w:rPr>
        <w:t>单位预算情况说明</w:t>
      </w:r>
      <w:r>
        <w:rPr>
          <w:rFonts w:hint="default" w:ascii="Times New Roman" w:hAnsi="Times New Roman" w:eastAsia="黑体" w:cs="Times New Roman"/>
          <w:sz w:val="32"/>
          <w:szCs w:val="32"/>
          <w:highlight w:val="none"/>
        </w:rPr>
        <w:t xml:space="preserve">  </w:t>
      </w:r>
    </w:p>
    <w:p>
      <w:pPr>
        <w:pStyle w:val="5"/>
        <w:numPr>
          <w:ilvl w:val="0"/>
          <w:numId w:val="0"/>
        </w:numPr>
        <w:ind w:leftChars="0"/>
        <w:jc w:val="left"/>
        <w:rPr>
          <w:rFonts w:ascii="Times New Roman" w:hAnsi="Times New Roman" w:eastAsia="仿宋_GB2312" w:cs="Times New Roman"/>
          <w:sz w:val="32"/>
          <w:szCs w:val="32"/>
          <w:highlight w:val="none"/>
        </w:rPr>
      </w:pPr>
      <w:r>
        <w:rPr>
          <w:rFonts w:hint="eastAsia" w:ascii="Times New Roman" w:hAnsi="Times New Roman" w:eastAsia="黑体" w:cs="Times New Roman"/>
          <w:sz w:val="32"/>
          <w:szCs w:val="32"/>
          <w:highlight w:val="none"/>
          <w:lang w:eastAsia="zh-CN"/>
        </w:rPr>
        <w:t>第四部分</w:t>
      </w:r>
      <w:r>
        <w:rPr>
          <w:rFonts w:hint="eastAsia"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名词解释</w:t>
      </w:r>
    </w:p>
    <w:p>
      <w:pPr>
        <w:pStyle w:val="5"/>
        <w:ind w:left="1320" w:firstLine="0" w:firstLineChars="0"/>
        <w:jc w:val="left"/>
        <w:rPr>
          <w:rFonts w:ascii="Times New Roman" w:hAnsi="Times New Roman" w:eastAsia="黑体" w:cs="Times New Roman"/>
          <w:sz w:val="32"/>
          <w:szCs w:val="32"/>
          <w:highlight w:val="none"/>
        </w:rPr>
      </w:pPr>
    </w:p>
    <w:p>
      <w:pPr>
        <w:jc w:val="left"/>
        <w:rPr>
          <w:rFonts w:ascii="Times New Roman" w:hAnsi="Times New Roman" w:eastAsia="黑体" w:cs="Times New Roman"/>
          <w:sz w:val="32"/>
          <w:szCs w:val="32"/>
          <w:highlight w:val="none"/>
        </w:rPr>
      </w:pPr>
    </w:p>
    <w:p>
      <w:pPr>
        <w:jc w:val="left"/>
        <w:rPr>
          <w:rFonts w:ascii="Times New Roman" w:hAnsi="Times New Roman" w:eastAsia="黑体" w:cs="Times New Roman"/>
          <w:sz w:val="32"/>
          <w:szCs w:val="32"/>
          <w:highlight w:val="none"/>
        </w:rPr>
      </w:pPr>
    </w:p>
    <w:p>
      <w:pPr>
        <w:jc w:val="left"/>
        <w:rPr>
          <w:rFonts w:ascii="Times New Roman" w:hAnsi="Times New Roman" w:eastAsia="黑体" w:cs="Times New Roman"/>
          <w:sz w:val="32"/>
          <w:szCs w:val="32"/>
          <w:highlight w:val="none"/>
        </w:rPr>
      </w:pPr>
    </w:p>
    <w:p>
      <w:pPr>
        <w:pStyle w:val="5"/>
        <w:numPr>
          <w:ilvl w:val="0"/>
          <w:numId w:val="4"/>
        </w:numPr>
        <w:ind w:firstLineChars="0"/>
        <w:jc w:val="center"/>
        <w:rPr>
          <w:rFonts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color w:val="auto"/>
          <w:sz w:val="32"/>
          <w:szCs w:val="32"/>
          <w:highlight w:val="none"/>
          <w:lang w:eastAsia="zh-CN"/>
        </w:rPr>
        <w:t>三亚市河长制服务中心</w:t>
      </w:r>
      <w:r>
        <w:rPr>
          <w:rFonts w:hint="default" w:ascii="Times New Roman" w:hAnsi="Times New Roman" w:eastAsia="黑体" w:cs="Times New Roman"/>
          <w:sz w:val="32"/>
          <w:szCs w:val="32"/>
          <w:highlight w:val="none"/>
        </w:rPr>
        <w:t>概况</w:t>
      </w:r>
    </w:p>
    <w:p>
      <w:pPr>
        <w:jc w:val="left"/>
        <w:rPr>
          <w:rFonts w:ascii="Times New Roman" w:hAnsi="Times New Roman" w:eastAsia="仿宋_GB2312" w:cs="Times New Roman"/>
          <w:sz w:val="32"/>
          <w:szCs w:val="32"/>
          <w:highlight w:val="none"/>
        </w:rPr>
      </w:pPr>
    </w:p>
    <w:p>
      <w:pPr>
        <w:pStyle w:val="5"/>
        <w:numPr>
          <w:ilvl w:val="0"/>
          <w:numId w:val="5"/>
        </w:numPr>
        <w:ind w:firstLineChars="0"/>
        <w:jc w:val="left"/>
        <w:rPr>
          <w:rFonts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主要职能</w:t>
      </w:r>
    </w:p>
    <w:p>
      <w:pPr>
        <w:pStyle w:val="5"/>
        <w:numPr>
          <w:ilvl w:val="0"/>
          <w:numId w:val="6"/>
        </w:numPr>
        <w:overflowPunct w:val="0"/>
        <w:spacing w:line="560" w:lineRule="exact"/>
        <w:ind w:left="0" w:firstLine="640" w:firstLineChars="200"/>
        <w:jc w:val="both"/>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kern w:val="2"/>
          <w:sz w:val="32"/>
          <w:szCs w:val="32"/>
          <w:highlight w:val="none"/>
        </w:rPr>
        <w:t>贯彻执行国家、省有关河长制的方针政策、法律法规和有关标准。落实市级河长（市领导）的指示和部署。</w:t>
      </w:r>
    </w:p>
    <w:p>
      <w:pPr>
        <w:pStyle w:val="5"/>
        <w:numPr>
          <w:ilvl w:val="0"/>
          <w:numId w:val="6"/>
        </w:numPr>
        <w:overflowPunct w:val="0"/>
        <w:spacing w:line="560" w:lineRule="exact"/>
        <w:ind w:left="0"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rPr>
        <w:t>协助市河长办公室完成市河长制管理工作领导小组的日常工作。</w:t>
      </w:r>
    </w:p>
    <w:p>
      <w:pPr>
        <w:pStyle w:val="5"/>
        <w:numPr>
          <w:ilvl w:val="0"/>
          <w:numId w:val="6"/>
        </w:numPr>
        <w:overflowPunct w:val="0"/>
        <w:spacing w:line="560" w:lineRule="exact"/>
        <w:ind w:left="0"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rPr>
        <w:t>协助制定和完善河长制会议制度、信息共享制度、工作督察督办制度、验收制度、信息报送制度等河长制工作制度。</w:t>
      </w:r>
    </w:p>
    <w:p>
      <w:pPr>
        <w:pStyle w:val="5"/>
        <w:numPr>
          <w:ilvl w:val="0"/>
          <w:numId w:val="6"/>
        </w:numPr>
        <w:overflowPunct w:val="0"/>
        <w:spacing w:line="560" w:lineRule="exact"/>
        <w:ind w:left="0"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eastAsia="zh-CN"/>
        </w:rPr>
        <w:t>组织</w:t>
      </w:r>
      <w:r>
        <w:rPr>
          <w:rFonts w:hint="default" w:ascii="Times New Roman" w:hAnsi="Times New Roman" w:eastAsia="仿宋_GB2312" w:cs="Times New Roman"/>
          <w:color w:val="auto"/>
          <w:kern w:val="2"/>
          <w:sz w:val="32"/>
          <w:szCs w:val="32"/>
          <w:highlight w:val="none"/>
        </w:rPr>
        <w:t>编制“一河（湖）一策”方案，建立“一河（湖）一档”相关工作台账。</w:t>
      </w:r>
    </w:p>
    <w:p>
      <w:pPr>
        <w:overflowPunct w:val="0"/>
        <w:spacing w:line="560" w:lineRule="exact"/>
        <w:ind w:left="0" w:leftChars="0" w:firstLine="640" w:firstLineChars="200"/>
        <w:jc w:val="both"/>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eastAsia="zh-CN"/>
        </w:rPr>
        <w:t>（五）</w:t>
      </w:r>
      <w:r>
        <w:rPr>
          <w:rFonts w:hint="default" w:ascii="Times New Roman" w:hAnsi="Times New Roman" w:eastAsia="仿宋_GB2312" w:cs="Times New Roman"/>
          <w:color w:val="auto"/>
          <w:kern w:val="2"/>
          <w:sz w:val="32"/>
          <w:szCs w:val="32"/>
          <w:highlight w:val="none"/>
        </w:rPr>
        <w:t>承办上级部门及市河长制工作领导小组交办的其他工作</w:t>
      </w:r>
      <w:r>
        <w:rPr>
          <w:rFonts w:hint="default" w:ascii="Times New Roman" w:hAnsi="Times New Roman" w:eastAsia="仿宋_GB2312" w:cs="Times New Roman"/>
          <w:color w:val="auto"/>
          <w:kern w:val="2"/>
          <w:sz w:val="32"/>
          <w:szCs w:val="32"/>
          <w:highlight w:val="none"/>
          <w:lang w:eastAsia="zh-CN"/>
        </w:rPr>
        <w:t>。</w:t>
      </w:r>
    </w:p>
    <w:p>
      <w:pPr>
        <w:pStyle w:val="5"/>
        <w:numPr>
          <w:ilvl w:val="0"/>
          <w:numId w:val="5"/>
        </w:numPr>
        <w:ind w:firstLineChars="0"/>
        <w:jc w:val="left"/>
        <w:rPr>
          <w:rFonts w:hint="eastAsia" w:ascii="Times New Roman" w:hAnsi="ˎ̥" w:eastAsia="宋体" w:cs="Times New Roman"/>
          <w:b w:val="0"/>
          <w:bCs/>
          <w:kern w:val="0"/>
          <w:sz w:val="32"/>
          <w:szCs w:val="32"/>
        </w:rPr>
      </w:pPr>
      <w:r>
        <w:rPr>
          <w:rFonts w:hint="eastAsia" w:ascii="Times New Roman" w:hAnsi="Times New Roman" w:eastAsia="黑体" w:cs="Times New Roman"/>
          <w:sz w:val="32"/>
          <w:szCs w:val="32"/>
          <w:highlight w:val="none"/>
          <w:lang w:eastAsia="zh-CN"/>
        </w:rPr>
        <w:t>机构设置</w:t>
      </w:r>
    </w:p>
    <w:p>
      <w:pPr>
        <w:ind w:firstLine="800" w:firstLineChars="25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纳入三亚市河长制服务中心部门2022年部门预算编制范围的预算单位为三亚市河长制服务中心。</w:t>
      </w:r>
    </w:p>
    <w:p>
      <w:pPr>
        <w:ind w:firstLine="800" w:firstLineChars="250"/>
        <w:jc w:val="left"/>
        <w:rPr>
          <w:rFonts w:hint="eastAsia" w:ascii="仿宋_GB2312" w:hAnsi="仿宋_GB2312" w:eastAsia="仿宋_GB2312" w:cs="仿宋_GB2312"/>
          <w:b w:val="0"/>
          <w:bCs/>
          <w:color w:val="auto"/>
          <w:kern w:val="0"/>
          <w:sz w:val="32"/>
          <w:szCs w:val="32"/>
          <w:lang w:eastAsia="zh-CN"/>
        </w:rPr>
      </w:pPr>
      <w:r>
        <w:rPr>
          <w:rFonts w:hint="eastAsia" w:ascii="仿宋_GB2312" w:hAnsi="仿宋_GB2312" w:eastAsia="仿宋_GB2312" w:cs="仿宋_GB2312"/>
          <w:color w:val="auto"/>
          <w:sz w:val="32"/>
          <w:szCs w:val="32"/>
          <w:lang w:val="en-US" w:eastAsia="zh-CN"/>
        </w:rPr>
        <w:t>三亚市河长制服务中心</w:t>
      </w:r>
      <w:r>
        <w:rPr>
          <w:rFonts w:hint="eastAsia" w:ascii="仿宋_GB2312" w:hAnsi="仿宋_GB2312" w:eastAsia="仿宋_GB2312" w:cs="仿宋_GB2312"/>
          <w:b w:val="0"/>
          <w:bCs/>
          <w:color w:val="auto"/>
          <w:kern w:val="0"/>
          <w:sz w:val="32"/>
          <w:szCs w:val="32"/>
        </w:rPr>
        <w:t>无内设机构</w:t>
      </w:r>
      <w:r>
        <w:rPr>
          <w:rFonts w:hint="eastAsia" w:ascii="仿宋_GB2312" w:hAnsi="仿宋_GB2312" w:eastAsia="仿宋_GB2312" w:cs="仿宋_GB2312"/>
          <w:b w:val="0"/>
          <w:bCs/>
          <w:color w:val="auto"/>
          <w:kern w:val="0"/>
          <w:sz w:val="32"/>
          <w:szCs w:val="32"/>
          <w:lang w:eastAsia="zh-CN"/>
        </w:rPr>
        <w:t>。</w:t>
      </w:r>
    </w:p>
    <w:p>
      <w:pPr>
        <w:ind w:firstLine="800" w:firstLineChars="250"/>
        <w:jc w:val="left"/>
        <w:rPr>
          <w:rFonts w:hint="default" w:ascii="Times New Roman" w:hAnsi="ˎ̥" w:eastAsia="宋体" w:cs="Times New Roman"/>
          <w:b w:val="0"/>
          <w:bCs/>
          <w:color w:val="auto"/>
          <w:kern w:val="0"/>
          <w:sz w:val="32"/>
          <w:szCs w:val="32"/>
        </w:rPr>
      </w:pPr>
      <w:r>
        <w:rPr>
          <w:rFonts w:hint="eastAsia" w:ascii="仿宋_GB2312" w:hAnsi="ˎ̥" w:eastAsia="仿宋_GB2312" w:cs="Times New Roman"/>
          <w:color w:val="auto"/>
          <w:sz w:val="32"/>
          <w:szCs w:val="32"/>
          <w:lang w:val="en-US" w:eastAsia="zh-CN"/>
        </w:rPr>
        <w:t>事业单位编制6名，设领导岗位2名（1正1副），其他管理人员岗位4名。</w:t>
      </w:r>
    </w:p>
    <w:p>
      <w:pPr>
        <w:overflowPunct w:val="0"/>
        <w:spacing w:line="560" w:lineRule="exact"/>
        <w:ind w:firstLine="0" w:firstLineChars="0"/>
        <w:rPr>
          <w:rFonts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第二部分 </w:t>
      </w:r>
      <w:r>
        <w:rPr>
          <w:rFonts w:hint="default" w:ascii="Times New Roman" w:hAnsi="Times New Roman" w:eastAsia="仿宋_GB2312" w:cs="Times New Roman"/>
          <w:sz w:val="32"/>
          <w:szCs w:val="32"/>
          <w:highlight w:val="none"/>
        </w:rPr>
        <w:t xml:space="preserve"> </w:t>
      </w:r>
      <w:r>
        <w:rPr>
          <w:rFonts w:hint="default" w:ascii="Times New Roman" w:hAnsi="Times New Roman" w:eastAsia="黑体" w:cs="Times New Roman"/>
          <w:color w:val="auto"/>
          <w:sz w:val="32"/>
          <w:szCs w:val="32"/>
          <w:highlight w:val="none"/>
          <w:lang w:eastAsia="zh-CN"/>
        </w:rPr>
        <w:t>三亚市河长制服务中心</w:t>
      </w:r>
      <w:r>
        <w:rPr>
          <w:rFonts w:hint="default" w:ascii="Times New Roman" w:hAnsi="Times New Roman" w:eastAsia="黑体" w:cs="Times New Roman"/>
          <w:color w:val="auto"/>
          <w:sz w:val="32"/>
          <w:szCs w:val="32"/>
          <w:highlight w:val="none"/>
          <w:lang w:val="en-US" w:eastAsia="zh-CN"/>
        </w:rPr>
        <w:t>2022</w:t>
      </w:r>
      <w:r>
        <w:rPr>
          <w:rFonts w:hint="default" w:ascii="Times New Roman" w:hAnsi="Times New Roman" w:eastAsia="黑体" w:cs="Times New Roman"/>
          <w:color w:val="auto"/>
          <w:sz w:val="32"/>
          <w:szCs w:val="32"/>
          <w:highlight w:val="none"/>
        </w:rPr>
        <w:t>年单位预算表</w:t>
      </w:r>
    </w:p>
    <w:p>
      <w:pPr>
        <w:ind w:left="800"/>
        <w:jc w:val="left"/>
        <w:rPr>
          <w:rFonts w:ascii="Times New Roman" w:hAnsi="Times New Roman" w:eastAsia="黑体" w:cs="Times New Roman"/>
          <w:sz w:val="32"/>
          <w:szCs w:val="32"/>
          <w:highlight w:val="none"/>
        </w:rPr>
      </w:pPr>
    </w:p>
    <w:p>
      <w:pPr>
        <w:ind w:left="800"/>
        <w:jc w:val="center"/>
        <w:rPr>
          <w:rFonts w:ascii="Times New Roman" w:hAnsi="Times New Roman" w:eastAsia="仿宋_GB2312" w:cs="Times New Roman"/>
          <w:b/>
          <w:sz w:val="32"/>
          <w:szCs w:val="32"/>
          <w:highlight w:val="none"/>
        </w:rPr>
      </w:pPr>
      <w:r>
        <w:rPr>
          <w:rFonts w:hint="default" w:ascii="Times New Roman" w:hAnsi="Times New Roman" w:eastAsia="仿宋_GB2312" w:cs="Times New Roman"/>
          <w:b/>
          <w:sz w:val="32"/>
          <w:szCs w:val="32"/>
          <w:highlight w:val="none"/>
        </w:rPr>
        <w:t>（此部分内容即为单位预算公开表）</w:t>
      </w:r>
    </w:p>
    <w:p>
      <w:pPr>
        <w:rPr>
          <w:rFonts w:ascii="Times New Roman" w:hAnsi="Times New Roman" w:eastAsia="黑体" w:cs="Times New Roman"/>
          <w:sz w:val="32"/>
          <w:szCs w:val="32"/>
          <w:highlight w:val="none"/>
        </w:rPr>
      </w:pPr>
    </w:p>
    <w:p>
      <w:pPr>
        <w:rPr>
          <w:rFonts w:ascii="Times New Roman" w:hAnsi="Times New Roman" w:eastAsia="黑体" w:cs="Times New Roman"/>
          <w:sz w:val="32"/>
          <w:szCs w:val="32"/>
          <w:highlight w:val="none"/>
        </w:rPr>
      </w:pPr>
    </w:p>
    <w:p>
      <w:pPr>
        <w:overflowPunct w:val="0"/>
        <w:spacing w:line="560" w:lineRule="exact"/>
        <w:ind w:firstLine="0" w:firstLineChars="0"/>
        <w:jc w:val="left"/>
        <w:rPr>
          <w:rFonts w:ascii="Times New Roman" w:hAnsi="Times New Roman" w:eastAsia="黑体" w:cs="Times New Roman"/>
          <w:color w:val="auto"/>
          <w:sz w:val="32"/>
          <w:szCs w:val="32"/>
          <w:highlight w:val="none"/>
        </w:rPr>
      </w:pPr>
      <w:r>
        <w:rPr>
          <w:rFonts w:hint="default" w:ascii="Times New Roman" w:hAnsi="Times New Roman" w:eastAsia="黑体" w:cs="Times New Roman"/>
          <w:sz w:val="32"/>
          <w:szCs w:val="32"/>
          <w:highlight w:val="none"/>
        </w:rPr>
        <w:t xml:space="preserve">第三部分   </w:t>
      </w:r>
      <w:r>
        <w:rPr>
          <w:rFonts w:hint="default" w:ascii="Times New Roman" w:hAnsi="Times New Roman" w:eastAsia="黑体" w:cs="Times New Roman"/>
          <w:color w:val="auto"/>
          <w:sz w:val="32"/>
          <w:szCs w:val="32"/>
          <w:highlight w:val="none"/>
          <w:lang w:eastAsia="zh-CN"/>
        </w:rPr>
        <w:t>三亚市河长制服务中心</w:t>
      </w:r>
      <w:r>
        <w:rPr>
          <w:rFonts w:hint="default" w:ascii="Times New Roman" w:hAnsi="Times New Roman" w:eastAsia="黑体" w:cs="Times New Roman"/>
          <w:color w:val="auto"/>
          <w:sz w:val="32"/>
          <w:szCs w:val="32"/>
          <w:highlight w:val="none"/>
          <w:lang w:val="en-US" w:eastAsia="zh-CN"/>
        </w:rPr>
        <w:t>2022</w:t>
      </w:r>
      <w:r>
        <w:rPr>
          <w:rFonts w:hint="default" w:ascii="Times New Roman" w:hAnsi="Times New Roman" w:eastAsia="黑体" w:cs="Times New Roman"/>
          <w:color w:val="auto"/>
          <w:sz w:val="32"/>
          <w:szCs w:val="32"/>
          <w:highlight w:val="none"/>
        </w:rPr>
        <w:t>年单位预算情况说明</w:t>
      </w:r>
    </w:p>
    <w:p>
      <w:pPr>
        <w:overflowPunct w:val="0"/>
        <w:spacing w:line="560" w:lineRule="exact"/>
        <w:ind w:firstLine="640" w:firstLineChars="200"/>
        <w:jc w:val="both"/>
        <w:rPr>
          <w:rFonts w:ascii="Times New Roman" w:hAnsi="Times New Roman" w:eastAsia="黑体" w:cs="Times New Roman"/>
          <w:sz w:val="32"/>
          <w:szCs w:val="32"/>
          <w:highlight w:val="none"/>
        </w:rPr>
      </w:pPr>
      <w:r>
        <w:rPr>
          <w:rFonts w:hint="default" w:ascii="Times New Roman" w:hAnsi="Times New Roman" w:eastAsia="黑体" w:cs="Times New Roman"/>
          <w:color w:val="auto"/>
          <w:sz w:val="32"/>
          <w:szCs w:val="32"/>
          <w:highlight w:val="none"/>
        </w:rPr>
        <w:t>一、关于</w:t>
      </w:r>
      <w:r>
        <w:rPr>
          <w:rFonts w:hint="default" w:ascii="Times New Roman" w:hAnsi="Times New Roman" w:eastAsia="黑体" w:cs="Times New Roman"/>
          <w:color w:val="auto"/>
          <w:sz w:val="32"/>
          <w:szCs w:val="32"/>
          <w:highlight w:val="none"/>
          <w:lang w:eastAsia="zh-CN"/>
        </w:rPr>
        <w:t>三亚市河长制服务中心</w:t>
      </w:r>
      <w:r>
        <w:rPr>
          <w:rFonts w:hint="default" w:ascii="Times New Roman" w:hAnsi="Times New Roman" w:eastAsia="黑体" w:cs="Times New Roman"/>
          <w:color w:val="auto"/>
          <w:sz w:val="32"/>
          <w:szCs w:val="32"/>
          <w:highlight w:val="none"/>
          <w:lang w:val="en-US" w:eastAsia="zh-CN"/>
        </w:rPr>
        <w:t>2022</w:t>
      </w:r>
      <w:r>
        <w:rPr>
          <w:rFonts w:hint="default" w:ascii="Times New Roman" w:hAnsi="Times New Roman" w:eastAsia="黑体" w:cs="Times New Roman"/>
          <w:color w:val="auto"/>
          <w:sz w:val="32"/>
          <w:szCs w:val="32"/>
          <w:highlight w:val="none"/>
        </w:rPr>
        <w:t>年财政拨款收支预算情况的总体说明</w:t>
      </w:r>
    </w:p>
    <w:p>
      <w:pPr>
        <w:overflowPunct w:val="0"/>
        <w:spacing w:line="560" w:lineRule="exact"/>
        <w:ind w:firstLine="640" w:firstLineChars="200"/>
        <w:jc w:val="both"/>
        <w:rPr>
          <w:rFonts w:hint="default" w:ascii="Times New Roman" w:hAnsi="Times New Roman" w:eastAsia="黑体" w:cs="Times New Roman"/>
          <w:sz w:val="32"/>
          <w:szCs w:val="32"/>
          <w:highlight w:val="none"/>
        </w:rPr>
      </w:pP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年财政拨款收支总预算</w:t>
      </w:r>
      <w:r>
        <w:rPr>
          <w:rFonts w:hint="default" w:ascii="Times New Roman" w:hAnsi="Times New Roman" w:eastAsia="仿宋_GB2312" w:cs="Times New Roman"/>
          <w:color w:val="auto"/>
          <w:sz w:val="32"/>
          <w:szCs w:val="32"/>
          <w:highlight w:val="none"/>
          <w:lang w:val="en-US" w:eastAsia="zh-CN"/>
        </w:rPr>
        <w:t>463.87</w:t>
      </w:r>
      <w:r>
        <w:rPr>
          <w:rFonts w:hint="default" w:ascii="Times New Roman" w:hAnsi="Times New Roman" w:eastAsia="仿宋_GB2312" w:cs="Times New Roman"/>
          <w:color w:val="auto"/>
          <w:sz w:val="32"/>
          <w:szCs w:val="32"/>
          <w:highlight w:val="none"/>
        </w:rPr>
        <w:t>万元。其中，收入总计</w:t>
      </w:r>
      <w:r>
        <w:rPr>
          <w:rFonts w:hint="default" w:ascii="Times New Roman" w:hAnsi="Times New Roman" w:eastAsia="仿宋_GB2312" w:cs="Times New Roman"/>
          <w:color w:val="auto"/>
          <w:sz w:val="32"/>
          <w:szCs w:val="32"/>
          <w:highlight w:val="none"/>
          <w:lang w:val="en-US" w:eastAsia="zh-CN"/>
        </w:rPr>
        <w:t>463.87</w:t>
      </w:r>
      <w:r>
        <w:rPr>
          <w:rFonts w:hint="default" w:ascii="Times New Roman" w:hAnsi="Times New Roman" w:eastAsia="仿宋_GB2312" w:cs="Times New Roman"/>
          <w:color w:val="auto"/>
          <w:sz w:val="32"/>
          <w:szCs w:val="32"/>
          <w:highlight w:val="none"/>
        </w:rPr>
        <w:t>万元，包括一般公共预算本年收入</w:t>
      </w:r>
      <w:r>
        <w:rPr>
          <w:rFonts w:hint="default" w:ascii="Times New Roman" w:hAnsi="Times New Roman" w:eastAsia="仿宋_GB2312" w:cs="Times New Roman"/>
          <w:color w:val="auto"/>
          <w:sz w:val="32"/>
          <w:szCs w:val="32"/>
          <w:highlight w:val="none"/>
          <w:lang w:val="en-US" w:eastAsia="zh-CN"/>
        </w:rPr>
        <w:t>463.87</w:t>
      </w:r>
      <w:r>
        <w:rPr>
          <w:rFonts w:hint="default" w:ascii="Times New Roman" w:hAnsi="Times New Roman" w:eastAsia="仿宋_GB2312" w:cs="Times New Roman"/>
          <w:color w:val="auto"/>
          <w:sz w:val="32"/>
          <w:szCs w:val="32"/>
          <w:highlight w:val="none"/>
        </w:rPr>
        <w:t>万元；支出总计</w:t>
      </w:r>
      <w:r>
        <w:rPr>
          <w:rFonts w:hint="default" w:ascii="Times New Roman" w:hAnsi="Times New Roman" w:eastAsia="仿宋_GB2312" w:cs="Times New Roman"/>
          <w:color w:val="auto"/>
          <w:sz w:val="32"/>
          <w:szCs w:val="32"/>
          <w:highlight w:val="none"/>
          <w:lang w:val="en-US" w:eastAsia="zh-CN"/>
        </w:rPr>
        <w:t>463.87</w:t>
      </w:r>
      <w:r>
        <w:rPr>
          <w:rFonts w:hint="default" w:ascii="Times New Roman" w:hAnsi="Times New Roman" w:eastAsia="仿宋_GB2312" w:cs="Times New Roman"/>
          <w:color w:val="auto"/>
          <w:sz w:val="32"/>
          <w:szCs w:val="32"/>
          <w:highlight w:val="none"/>
        </w:rPr>
        <w:t>万元，包括社会保障和就业支出</w:t>
      </w:r>
      <w:r>
        <w:rPr>
          <w:rFonts w:hint="default" w:ascii="Times New Roman" w:hAnsi="Times New Roman" w:eastAsia="仿宋_GB2312" w:cs="Times New Roman"/>
          <w:color w:val="auto"/>
          <w:sz w:val="32"/>
          <w:szCs w:val="32"/>
          <w:highlight w:val="none"/>
          <w:lang w:val="en-US" w:eastAsia="zh-CN"/>
        </w:rPr>
        <w:t>8.43</w:t>
      </w:r>
      <w:r>
        <w:rPr>
          <w:rFonts w:hint="default" w:ascii="Times New Roman" w:hAnsi="Times New Roman" w:eastAsia="仿宋_GB2312" w:cs="Times New Roman"/>
          <w:color w:val="auto"/>
          <w:sz w:val="32"/>
          <w:szCs w:val="32"/>
          <w:highlight w:val="none"/>
          <w:lang w:eastAsia="zh-CN"/>
        </w:rPr>
        <w:t>万元</w:t>
      </w:r>
      <w:r>
        <w:rPr>
          <w:rFonts w:hint="default" w:ascii="Times New Roman" w:hAnsi="Times New Roman" w:eastAsia="仿宋_GB2312" w:cs="Times New Roman"/>
          <w:color w:val="auto"/>
          <w:sz w:val="32"/>
          <w:szCs w:val="32"/>
          <w:highlight w:val="none"/>
        </w:rPr>
        <w:t>，卫生健康支出</w:t>
      </w:r>
      <w:r>
        <w:rPr>
          <w:rFonts w:hint="default" w:ascii="Times New Roman" w:hAnsi="Times New Roman" w:eastAsia="仿宋_GB2312" w:cs="Times New Roman"/>
          <w:color w:val="auto"/>
          <w:sz w:val="32"/>
          <w:szCs w:val="32"/>
          <w:highlight w:val="none"/>
          <w:lang w:val="en-US" w:eastAsia="zh-CN"/>
        </w:rPr>
        <w:t>9.97</w:t>
      </w:r>
      <w:r>
        <w:rPr>
          <w:rFonts w:hint="default" w:ascii="Times New Roman" w:hAnsi="Times New Roman" w:eastAsia="仿宋_GB2312" w:cs="Times New Roman"/>
          <w:color w:val="auto"/>
          <w:sz w:val="32"/>
          <w:szCs w:val="32"/>
          <w:highlight w:val="none"/>
          <w:lang w:eastAsia="zh-CN"/>
        </w:rPr>
        <w:t>万元，农林水支出</w:t>
      </w:r>
      <w:r>
        <w:rPr>
          <w:rFonts w:hint="default" w:ascii="Times New Roman" w:hAnsi="Times New Roman" w:eastAsia="仿宋_GB2312" w:cs="Times New Roman"/>
          <w:color w:val="auto"/>
          <w:sz w:val="32"/>
          <w:szCs w:val="32"/>
          <w:highlight w:val="none"/>
          <w:lang w:val="en-US" w:eastAsia="zh-CN"/>
        </w:rPr>
        <w:t>438.88</w:t>
      </w:r>
      <w:r>
        <w:rPr>
          <w:rFonts w:hint="default" w:ascii="Times New Roman" w:hAnsi="Times New Roman" w:eastAsia="仿宋_GB2312" w:cs="Times New Roman"/>
          <w:color w:val="auto"/>
          <w:sz w:val="32"/>
          <w:szCs w:val="32"/>
          <w:highlight w:val="none"/>
          <w:lang w:eastAsia="zh-CN"/>
        </w:rPr>
        <w:t>万元</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住房保障支出</w:t>
      </w:r>
      <w:r>
        <w:rPr>
          <w:rFonts w:hint="default" w:ascii="Times New Roman" w:hAnsi="Times New Roman" w:eastAsia="仿宋_GB2312" w:cs="Times New Roman"/>
          <w:color w:val="auto"/>
          <w:sz w:val="32"/>
          <w:szCs w:val="32"/>
          <w:highlight w:val="none"/>
          <w:lang w:val="en-US" w:eastAsia="zh-CN"/>
        </w:rPr>
        <w:t>6.59</w:t>
      </w:r>
      <w:r>
        <w:rPr>
          <w:rFonts w:hint="default" w:ascii="Times New Roman" w:hAnsi="Times New Roman" w:eastAsia="仿宋_GB2312" w:cs="Times New Roman"/>
          <w:color w:val="auto"/>
          <w:sz w:val="32"/>
          <w:szCs w:val="32"/>
          <w:highlight w:val="none"/>
          <w:lang w:eastAsia="zh-CN"/>
        </w:rPr>
        <w:t>万元</w:t>
      </w:r>
      <w:r>
        <w:rPr>
          <w:rFonts w:hint="default" w:ascii="Times New Roman" w:hAnsi="Times New Roman" w:eastAsia="仿宋_GB2312" w:cs="Times New Roman"/>
          <w:color w:val="auto"/>
          <w:sz w:val="32"/>
          <w:szCs w:val="32"/>
          <w:highlight w:val="none"/>
        </w:rPr>
        <w:t>。</w:t>
      </w:r>
    </w:p>
    <w:p>
      <w:pPr>
        <w:ind w:firstLine="640"/>
        <w:jc w:val="left"/>
        <w:rPr>
          <w:rFonts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w:t>
      </w:r>
      <w:r>
        <w:rPr>
          <w:rFonts w:hint="default" w:ascii="Times New Roman" w:hAnsi="Times New Roman" w:eastAsia="黑体" w:cs="Times New Roman"/>
          <w:color w:val="auto"/>
          <w:sz w:val="32"/>
          <w:szCs w:val="32"/>
          <w:highlight w:val="none"/>
        </w:rPr>
        <w:t>关于</w:t>
      </w:r>
      <w:r>
        <w:rPr>
          <w:rFonts w:hint="default" w:ascii="Times New Roman" w:hAnsi="Times New Roman" w:eastAsia="黑体" w:cs="Times New Roman"/>
          <w:color w:val="auto"/>
          <w:sz w:val="32"/>
          <w:szCs w:val="32"/>
          <w:highlight w:val="none"/>
          <w:lang w:eastAsia="zh-CN"/>
        </w:rPr>
        <w:t>三亚市河长制服务中心</w:t>
      </w:r>
      <w:r>
        <w:rPr>
          <w:rFonts w:hint="default" w:ascii="Times New Roman" w:hAnsi="Times New Roman" w:eastAsia="黑体" w:cs="Times New Roman"/>
          <w:color w:val="auto"/>
          <w:sz w:val="32"/>
          <w:szCs w:val="32"/>
          <w:highlight w:val="none"/>
          <w:lang w:val="en-US" w:eastAsia="zh-CN"/>
        </w:rPr>
        <w:t>2022</w:t>
      </w:r>
      <w:r>
        <w:rPr>
          <w:rFonts w:hint="default" w:ascii="Times New Roman" w:hAnsi="Times New Roman" w:eastAsia="黑体" w:cs="Times New Roman"/>
          <w:color w:val="auto"/>
          <w:sz w:val="32"/>
          <w:szCs w:val="32"/>
          <w:highlight w:val="none"/>
        </w:rPr>
        <w:t>年一般公共预算当年拨款情况说明</w:t>
      </w:r>
    </w:p>
    <w:p>
      <w:pPr>
        <w:overflowPunct w:val="0"/>
        <w:spacing w:line="560" w:lineRule="exact"/>
        <w:ind w:firstLine="640"/>
        <w:jc w:val="both"/>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（一）一般公共预算当年规模变化情况</w:t>
      </w:r>
    </w:p>
    <w:p>
      <w:pPr>
        <w:overflowPunct w:val="0"/>
        <w:spacing w:line="560" w:lineRule="exact"/>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三亚市河长制服务中心202</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年</w:t>
      </w:r>
      <w:r>
        <w:rPr>
          <w:rFonts w:hint="default" w:ascii="Times New Roman" w:hAnsi="Times New Roman" w:eastAsia="仿宋_GB2312" w:cs="Times New Roman"/>
          <w:color w:val="auto"/>
          <w:sz w:val="32"/>
          <w:szCs w:val="32"/>
          <w:highlight w:val="none"/>
        </w:rPr>
        <w:t>一般公共预算当年拨款</w:t>
      </w:r>
      <w:r>
        <w:rPr>
          <w:rFonts w:hint="default" w:ascii="Times New Roman" w:hAnsi="Times New Roman" w:eastAsia="仿宋_GB2312" w:cs="Times New Roman"/>
          <w:color w:val="auto"/>
          <w:sz w:val="32"/>
          <w:szCs w:val="32"/>
          <w:highlight w:val="none"/>
          <w:lang w:val="en-US" w:eastAsia="zh-CN"/>
        </w:rPr>
        <w:t>463.87</w:t>
      </w:r>
      <w:r>
        <w:rPr>
          <w:rFonts w:hint="default" w:ascii="Times New Roman" w:hAnsi="Times New Roman" w:eastAsia="仿宋_GB2312" w:cs="Times New Roman"/>
          <w:color w:val="auto"/>
          <w:sz w:val="32"/>
          <w:szCs w:val="32"/>
          <w:highlight w:val="none"/>
        </w:rPr>
        <w:t>万元，比上年预算数</w:t>
      </w:r>
      <w:r>
        <w:rPr>
          <w:rFonts w:hint="default" w:ascii="Times New Roman" w:hAnsi="Times New Roman" w:eastAsia="仿宋_GB2312" w:cs="Times New Roman"/>
          <w:color w:val="auto"/>
          <w:sz w:val="32"/>
          <w:szCs w:val="32"/>
          <w:highlight w:val="none"/>
          <w:lang w:val="en-US" w:eastAsia="zh-CN"/>
        </w:rPr>
        <w:t>减少357.44</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eastAsia="zh-CN"/>
        </w:rPr>
        <w:t>减少</w:t>
      </w:r>
      <w:r>
        <w:rPr>
          <w:rFonts w:hint="default" w:ascii="Times New Roman" w:hAnsi="Times New Roman" w:eastAsia="仿宋_GB2312" w:cs="Times New Roman"/>
          <w:color w:val="auto"/>
          <w:sz w:val="32"/>
          <w:szCs w:val="32"/>
          <w:highlight w:val="none"/>
          <w:lang w:val="en-US" w:eastAsia="zh-CN"/>
        </w:rPr>
        <w:t>项目资金投入</w:t>
      </w:r>
      <w:r>
        <w:rPr>
          <w:rFonts w:hint="default" w:ascii="Times New Roman" w:hAnsi="Times New Roman" w:eastAsia="仿宋_GB2312" w:cs="Times New Roman"/>
          <w:color w:val="auto"/>
          <w:sz w:val="32"/>
          <w:szCs w:val="32"/>
          <w:highlight w:val="none"/>
        </w:rPr>
        <w:t>。</w:t>
      </w:r>
    </w:p>
    <w:p>
      <w:pPr>
        <w:overflowPunct w:val="0"/>
        <w:spacing w:line="560" w:lineRule="exact"/>
        <w:ind w:firstLine="640"/>
        <w:jc w:val="both"/>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（二）一般公共预算当年拨款结构情况</w:t>
      </w:r>
    </w:p>
    <w:p>
      <w:pPr>
        <w:spacing w:line="560" w:lineRule="exact"/>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社会保障和就业支出</w:t>
      </w:r>
      <w:r>
        <w:rPr>
          <w:rFonts w:hint="default" w:ascii="Times New Roman" w:hAnsi="Times New Roman" w:eastAsia="仿宋_GB2312" w:cs="Times New Roman"/>
          <w:color w:val="auto"/>
          <w:sz w:val="32"/>
          <w:szCs w:val="32"/>
          <w:highlight w:val="none"/>
          <w:lang w:val="en-US" w:eastAsia="zh-CN"/>
        </w:rPr>
        <w:t>8.43</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1.82</w:t>
      </w:r>
      <w:r>
        <w:rPr>
          <w:rFonts w:hint="default" w:ascii="Times New Roman" w:hAnsi="Times New Roman" w:eastAsia="仿宋_GB2312" w:cs="Times New Roman"/>
          <w:color w:val="auto"/>
          <w:sz w:val="32"/>
          <w:szCs w:val="32"/>
          <w:highlight w:val="none"/>
        </w:rPr>
        <w:t>%；卫生健康支出</w:t>
      </w:r>
      <w:r>
        <w:rPr>
          <w:rFonts w:hint="default" w:ascii="Times New Roman" w:hAnsi="Times New Roman" w:eastAsia="仿宋_GB2312" w:cs="Times New Roman"/>
          <w:color w:val="auto"/>
          <w:sz w:val="32"/>
          <w:szCs w:val="32"/>
          <w:highlight w:val="none"/>
          <w:lang w:val="en-US" w:eastAsia="zh-CN"/>
        </w:rPr>
        <w:t>9.97</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val="en-US" w:eastAsia="zh-CN"/>
        </w:rPr>
        <w:t>2.15</w:t>
      </w:r>
      <w:r>
        <w:rPr>
          <w:rFonts w:hint="default" w:ascii="Times New Roman" w:hAnsi="Times New Roman" w:eastAsia="仿宋_GB2312" w:cs="Times New Roman"/>
          <w:color w:val="auto"/>
          <w:sz w:val="32"/>
          <w:szCs w:val="32"/>
          <w:highlight w:val="none"/>
        </w:rPr>
        <w:t>占%；农林水支出</w:t>
      </w:r>
      <w:r>
        <w:rPr>
          <w:rFonts w:hint="default" w:ascii="Times New Roman" w:hAnsi="Times New Roman" w:eastAsia="仿宋_GB2312" w:cs="Times New Roman"/>
          <w:color w:val="auto"/>
          <w:sz w:val="32"/>
          <w:szCs w:val="32"/>
          <w:highlight w:val="none"/>
          <w:lang w:val="en-US" w:eastAsia="zh-CN"/>
        </w:rPr>
        <w:t>438.88</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94.61</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住房保障支出6.59万元，占1.42%。</w:t>
      </w:r>
    </w:p>
    <w:p>
      <w:pPr>
        <w:overflowPunct w:val="0"/>
        <w:spacing w:line="560" w:lineRule="exact"/>
        <w:ind w:firstLine="640"/>
        <w:jc w:val="both"/>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（三）一般公共预算当年拨款具体使用情况</w:t>
      </w:r>
    </w:p>
    <w:p>
      <w:pPr>
        <w:spacing w:line="560" w:lineRule="exact"/>
        <w:ind w:firstLine="640" w:firstLineChars="200"/>
        <w:rPr>
          <w:rFonts w:hint="default"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rPr>
        <w:t>社会保障和就业（类）行政事业单位养老支出（款）机关事业单位基本养老保险缴费支出（项）</w:t>
      </w:r>
      <w:r>
        <w:rPr>
          <w:rFonts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8.43</w:t>
      </w:r>
      <w:r>
        <w:rPr>
          <w:rFonts w:hint="default" w:ascii="Times New Roman" w:hAnsi="Times New Roman" w:eastAsia="仿宋_GB2312" w:cs="Times New Roman"/>
          <w:color w:val="auto"/>
          <w:sz w:val="32"/>
          <w:szCs w:val="32"/>
          <w:highlight w:val="none"/>
        </w:rPr>
        <w:t>万元，比上年预算数</w:t>
      </w:r>
      <w:r>
        <w:rPr>
          <w:rFonts w:hint="default" w:ascii="Times New Roman" w:hAnsi="Times New Roman" w:eastAsia="仿宋_GB2312" w:cs="Times New Roman"/>
          <w:color w:val="auto"/>
          <w:sz w:val="32"/>
          <w:szCs w:val="32"/>
          <w:highlight w:val="none"/>
          <w:lang w:val="en-US" w:eastAsia="zh-CN"/>
        </w:rPr>
        <w:t>减少0.47</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val="en-US" w:eastAsia="zh-CN"/>
        </w:rPr>
        <w:t>社保基数变化导致</w:t>
      </w:r>
      <w:r>
        <w:rPr>
          <w:rFonts w:hint="default" w:ascii="Times New Roman" w:hAnsi="Times New Roman" w:eastAsia="仿宋_GB2312" w:cs="Times New Roman"/>
          <w:color w:val="auto"/>
          <w:sz w:val="32"/>
          <w:szCs w:val="32"/>
          <w:highlight w:val="none"/>
          <w:lang w:eastAsia="zh-CN"/>
        </w:rPr>
        <w:t>。</w:t>
      </w:r>
    </w:p>
    <w:p>
      <w:pPr>
        <w:spacing w:line="560"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2.卫生健康支出（类）行政事业单位医疗（款）事业单位医疗（项）2022年预算数为4.48万元，比上年预算数减少0.25万元，</w:t>
      </w:r>
      <w:r>
        <w:rPr>
          <w:rFonts w:hint="default" w:ascii="Times New Roman" w:hAnsi="Times New Roman" w:eastAsia="仿宋_GB2312" w:cs="Times New Roman"/>
          <w:color w:val="auto"/>
          <w:sz w:val="32"/>
          <w:szCs w:val="32"/>
          <w:highlight w:val="none"/>
        </w:rPr>
        <w:t>主要是</w:t>
      </w:r>
      <w:r>
        <w:rPr>
          <w:rFonts w:hint="default" w:ascii="Times New Roman" w:hAnsi="Times New Roman" w:eastAsia="仿宋_GB2312" w:cs="Times New Roman"/>
          <w:color w:val="auto"/>
          <w:sz w:val="32"/>
          <w:szCs w:val="32"/>
          <w:highlight w:val="none"/>
          <w:lang w:val="en-US" w:eastAsia="zh-CN"/>
        </w:rPr>
        <w:t>基数变化导致</w:t>
      </w:r>
      <w:r>
        <w:rPr>
          <w:rFonts w:hint="default" w:ascii="Times New Roman" w:hAnsi="Times New Roman" w:eastAsia="仿宋_GB2312" w:cs="Times New Roman"/>
          <w:color w:val="auto"/>
          <w:sz w:val="32"/>
          <w:szCs w:val="32"/>
          <w:highlight w:val="none"/>
          <w:lang w:eastAsia="zh-CN"/>
        </w:rPr>
        <w:t>。</w:t>
      </w:r>
    </w:p>
    <w:p>
      <w:pPr>
        <w:spacing w:line="560"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3.卫生健康支出（类）行政事业单位医疗（款）公务员医疗补助（项）2022年预算数为5.49万元，比上年预算数减少0.09万元，</w:t>
      </w:r>
      <w:r>
        <w:rPr>
          <w:rFonts w:hint="default" w:ascii="Times New Roman" w:hAnsi="Times New Roman" w:eastAsia="仿宋_GB2312" w:cs="Times New Roman"/>
          <w:color w:val="auto"/>
          <w:sz w:val="32"/>
          <w:szCs w:val="32"/>
          <w:highlight w:val="none"/>
        </w:rPr>
        <w:t>主要是</w:t>
      </w:r>
      <w:r>
        <w:rPr>
          <w:rFonts w:hint="default" w:ascii="Times New Roman" w:hAnsi="Times New Roman" w:eastAsia="仿宋_GB2312" w:cs="Times New Roman"/>
          <w:color w:val="auto"/>
          <w:sz w:val="32"/>
          <w:szCs w:val="32"/>
          <w:highlight w:val="none"/>
          <w:lang w:val="en-US" w:eastAsia="zh-CN"/>
        </w:rPr>
        <w:t>基数变化</w:t>
      </w:r>
      <w:r>
        <w:rPr>
          <w:rFonts w:hint="default" w:ascii="Times New Roman" w:hAnsi="Times New Roman" w:eastAsia="仿宋_GB2312" w:cs="Times New Roman"/>
          <w:color w:val="auto"/>
          <w:sz w:val="32"/>
          <w:szCs w:val="32"/>
          <w:highlight w:val="none"/>
          <w:lang w:eastAsia="zh-CN"/>
        </w:rPr>
        <w:t>导致。</w:t>
      </w:r>
    </w:p>
    <w:p>
      <w:pPr>
        <w:spacing w:line="560"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4</w:t>
      </w:r>
      <w:r>
        <w:rPr>
          <w:rFonts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农林水（类）水利（款）一般行政管理事务（项）</w:t>
      </w:r>
      <w:r>
        <w:rPr>
          <w:rFonts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330</w:t>
      </w:r>
      <w:r>
        <w:rPr>
          <w:rFonts w:hint="default" w:ascii="Times New Roman" w:hAnsi="Times New Roman" w:eastAsia="仿宋_GB2312" w:cs="Times New Roman"/>
          <w:color w:val="auto"/>
          <w:sz w:val="32"/>
          <w:szCs w:val="32"/>
          <w:highlight w:val="none"/>
        </w:rPr>
        <w:t>万元，比上年预算</w:t>
      </w:r>
      <w:r>
        <w:rPr>
          <w:rFonts w:hint="default" w:ascii="Times New Roman" w:hAnsi="Times New Roman" w:eastAsia="仿宋_GB2312" w:cs="Times New Roman"/>
          <w:color w:val="auto"/>
          <w:sz w:val="32"/>
          <w:szCs w:val="32"/>
          <w:highlight w:val="none"/>
          <w:lang w:eastAsia="zh-CN"/>
        </w:rPr>
        <w:t>数</w:t>
      </w:r>
      <w:r>
        <w:rPr>
          <w:rFonts w:hint="default" w:ascii="Times New Roman" w:hAnsi="Times New Roman" w:eastAsia="仿宋_GB2312" w:cs="Times New Roman"/>
          <w:color w:val="auto"/>
          <w:sz w:val="32"/>
          <w:szCs w:val="32"/>
          <w:highlight w:val="none"/>
          <w:lang w:val="en-US" w:eastAsia="zh-CN"/>
        </w:rPr>
        <w:t>增加87</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eastAsia="zh-CN"/>
        </w:rPr>
        <w:t>项目变动所导致。</w:t>
      </w:r>
    </w:p>
    <w:p>
      <w:pPr>
        <w:spacing w:line="560"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5</w:t>
      </w:r>
      <w:r>
        <w:rPr>
          <w:rFonts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农林水（类）水利（款）</w:t>
      </w:r>
      <w:r>
        <w:rPr>
          <w:rFonts w:hint="default" w:ascii="Times New Roman" w:hAnsi="Times New Roman" w:eastAsia="仿宋_GB2312" w:cs="Times New Roman"/>
          <w:color w:val="auto"/>
          <w:sz w:val="32"/>
          <w:szCs w:val="32"/>
          <w:highlight w:val="none"/>
          <w:lang w:val="en-US" w:eastAsia="zh-CN"/>
        </w:rPr>
        <w:t>信息管理</w:t>
      </w:r>
      <w:r>
        <w:rPr>
          <w:rFonts w:hint="default" w:ascii="Times New Roman" w:hAnsi="Times New Roman" w:eastAsia="仿宋_GB2312" w:cs="Times New Roman"/>
          <w:color w:val="auto"/>
          <w:sz w:val="32"/>
          <w:szCs w:val="32"/>
          <w:highlight w:val="none"/>
        </w:rPr>
        <w:t>（项）</w:t>
      </w:r>
      <w:r>
        <w:rPr>
          <w:rFonts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万元，比上年预算</w:t>
      </w:r>
      <w:r>
        <w:rPr>
          <w:rFonts w:hint="default" w:ascii="Times New Roman" w:hAnsi="Times New Roman" w:eastAsia="仿宋_GB2312" w:cs="Times New Roman"/>
          <w:color w:val="auto"/>
          <w:sz w:val="32"/>
          <w:szCs w:val="32"/>
          <w:highlight w:val="none"/>
          <w:lang w:eastAsia="zh-CN"/>
        </w:rPr>
        <w:t>数</w:t>
      </w:r>
      <w:r>
        <w:rPr>
          <w:rFonts w:hint="default" w:ascii="Times New Roman" w:hAnsi="Times New Roman" w:eastAsia="仿宋_GB2312" w:cs="Times New Roman"/>
          <w:color w:val="auto"/>
          <w:sz w:val="32"/>
          <w:szCs w:val="32"/>
          <w:highlight w:val="none"/>
          <w:lang w:val="en-US" w:eastAsia="zh-CN"/>
        </w:rPr>
        <w:t>增加20</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val="en-US" w:eastAsia="zh-CN"/>
        </w:rPr>
        <w:t>增加</w:t>
      </w:r>
      <w:r>
        <w:rPr>
          <w:rFonts w:hint="default" w:ascii="Times New Roman" w:hAnsi="Times New Roman" w:eastAsia="仿宋_GB2312" w:cs="Times New Roman"/>
          <w:color w:val="auto"/>
          <w:sz w:val="32"/>
          <w:szCs w:val="32"/>
          <w:highlight w:val="none"/>
          <w:lang w:eastAsia="zh-CN"/>
        </w:rPr>
        <w:t>河长办信息督办平台。</w:t>
      </w:r>
    </w:p>
    <w:p>
      <w:pPr>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w:t>
      </w:r>
      <w:r>
        <w:rPr>
          <w:rFonts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农林水（类）水利（款）</w:t>
      </w:r>
      <w:r>
        <w:rPr>
          <w:rFonts w:hint="default" w:ascii="Times New Roman" w:hAnsi="Times New Roman" w:eastAsia="仿宋_GB2312" w:cs="Times New Roman"/>
          <w:color w:val="auto"/>
          <w:sz w:val="32"/>
          <w:szCs w:val="32"/>
          <w:highlight w:val="none"/>
          <w:lang w:eastAsia="zh-CN"/>
        </w:rPr>
        <w:t>其他水利支出</w:t>
      </w:r>
      <w:r>
        <w:rPr>
          <w:rFonts w:hint="default" w:ascii="Times New Roman" w:hAnsi="Times New Roman" w:eastAsia="仿宋_GB2312" w:cs="Times New Roman"/>
          <w:color w:val="auto"/>
          <w:sz w:val="32"/>
          <w:szCs w:val="32"/>
          <w:highlight w:val="none"/>
        </w:rPr>
        <w:t>（项）</w:t>
      </w:r>
      <w:r>
        <w:rPr>
          <w:rFonts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88.88</w:t>
      </w:r>
      <w:r>
        <w:rPr>
          <w:rFonts w:hint="default" w:ascii="Times New Roman" w:hAnsi="Times New Roman" w:eastAsia="仿宋_GB2312" w:cs="Times New Roman"/>
          <w:color w:val="auto"/>
          <w:sz w:val="32"/>
          <w:szCs w:val="32"/>
          <w:highlight w:val="none"/>
        </w:rPr>
        <w:t>万元，比上年预算</w:t>
      </w:r>
      <w:r>
        <w:rPr>
          <w:rFonts w:hint="default" w:ascii="Times New Roman" w:hAnsi="Times New Roman" w:eastAsia="仿宋_GB2312" w:cs="Times New Roman"/>
          <w:color w:val="auto"/>
          <w:sz w:val="32"/>
          <w:szCs w:val="32"/>
          <w:highlight w:val="none"/>
          <w:lang w:eastAsia="zh-CN"/>
        </w:rPr>
        <w:t>数</w:t>
      </w:r>
      <w:r>
        <w:rPr>
          <w:rFonts w:hint="default" w:ascii="Times New Roman" w:hAnsi="Times New Roman" w:eastAsia="仿宋_GB2312" w:cs="Times New Roman"/>
          <w:color w:val="auto"/>
          <w:sz w:val="32"/>
          <w:szCs w:val="32"/>
          <w:highlight w:val="none"/>
          <w:lang w:val="en-US" w:eastAsia="zh-CN"/>
        </w:rPr>
        <w:t>减少463.53</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val="en-US" w:eastAsia="zh-CN"/>
        </w:rPr>
        <w:t>项目变动导致</w:t>
      </w:r>
      <w:r>
        <w:rPr>
          <w:rFonts w:hint="default" w:ascii="Times New Roman" w:hAnsi="Times New Roman" w:eastAsia="仿宋_GB2312" w:cs="Times New Roman"/>
          <w:color w:val="auto"/>
          <w:sz w:val="32"/>
          <w:szCs w:val="32"/>
          <w:highlight w:val="none"/>
          <w:lang w:eastAsia="zh-CN"/>
        </w:rPr>
        <w:t>。</w:t>
      </w:r>
    </w:p>
    <w:p>
      <w:pPr>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住房保障</w:t>
      </w:r>
      <w:r>
        <w:rPr>
          <w:rFonts w:hint="default" w:ascii="Times New Roman" w:hAnsi="Times New Roman" w:eastAsia="仿宋_GB2312" w:cs="Times New Roman"/>
          <w:color w:val="auto"/>
          <w:sz w:val="32"/>
          <w:szCs w:val="32"/>
          <w:highlight w:val="none"/>
          <w:lang w:val="en-US" w:eastAsia="zh-CN"/>
        </w:rPr>
        <w:t>支出</w:t>
      </w:r>
      <w:r>
        <w:rPr>
          <w:rFonts w:hint="default" w:ascii="Times New Roman" w:hAnsi="Times New Roman" w:eastAsia="仿宋_GB2312" w:cs="Times New Roman"/>
          <w:color w:val="auto"/>
          <w:sz w:val="32"/>
          <w:szCs w:val="32"/>
          <w:highlight w:val="none"/>
        </w:rPr>
        <w:t>（类）住房改革</w:t>
      </w:r>
      <w:r>
        <w:rPr>
          <w:rFonts w:hint="default" w:ascii="Times New Roman" w:hAnsi="Times New Roman" w:eastAsia="仿宋_GB2312" w:cs="Times New Roman"/>
          <w:color w:val="auto"/>
          <w:sz w:val="32"/>
          <w:szCs w:val="32"/>
          <w:highlight w:val="none"/>
          <w:lang w:val="en-US" w:eastAsia="zh-CN"/>
        </w:rPr>
        <w:t>支出</w:t>
      </w:r>
      <w:r>
        <w:rPr>
          <w:rFonts w:hint="default" w:ascii="Times New Roman" w:hAnsi="Times New Roman" w:eastAsia="仿宋_GB2312" w:cs="Times New Roman"/>
          <w:color w:val="auto"/>
          <w:sz w:val="32"/>
          <w:szCs w:val="32"/>
          <w:highlight w:val="none"/>
        </w:rPr>
        <w:t>（款）住房公积金（项）</w:t>
      </w:r>
      <w:r>
        <w:rPr>
          <w:rFonts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6.59</w:t>
      </w:r>
      <w:r>
        <w:rPr>
          <w:rFonts w:hint="default" w:ascii="Times New Roman" w:hAnsi="Times New Roman" w:eastAsia="仿宋_GB2312" w:cs="Times New Roman"/>
          <w:color w:val="auto"/>
          <w:sz w:val="32"/>
          <w:szCs w:val="32"/>
          <w:highlight w:val="none"/>
        </w:rPr>
        <w:t>元，比上年预算</w:t>
      </w:r>
      <w:r>
        <w:rPr>
          <w:rFonts w:hint="default" w:ascii="Times New Roman" w:hAnsi="Times New Roman" w:eastAsia="仿宋_GB2312" w:cs="Times New Roman"/>
          <w:color w:val="auto"/>
          <w:sz w:val="32"/>
          <w:szCs w:val="32"/>
          <w:highlight w:val="none"/>
          <w:lang w:eastAsia="zh-CN"/>
        </w:rPr>
        <w:t>数</w:t>
      </w:r>
      <w:r>
        <w:rPr>
          <w:rFonts w:hint="default" w:ascii="Times New Roman" w:hAnsi="Times New Roman" w:eastAsia="仿宋_GB2312" w:cs="Times New Roman"/>
          <w:color w:val="auto"/>
          <w:sz w:val="32"/>
          <w:szCs w:val="32"/>
          <w:highlight w:val="none"/>
          <w:lang w:val="en-US" w:eastAsia="zh-CN"/>
        </w:rPr>
        <w:t>减少0.11</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val="en-US" w:eastAsia="zh-CN"/>
        </w:rPr>
        <w:t>基数变动导致</w:t>
      </w:r>
      <w:r>
        <w:rPr>
          <w:rFonts w:hint="default" w:ascii="Times New Roman" w:hAnsi="Times New Roman" w:eastAsia="仿宋_GB2312" w:cs="Times New Roman"/>
          <w:color w:val="auto"/>
          <w:sz w:val="32"/>
          <w:szCs w:val="32"/>
          <w:highlight w:val="none"/>
          <w:lang w:eastAsia="zh-CN"/>
        </w:rPr>
        <w:t>。</w:t>
      </w:r>
    </w:p>
    <w:p>
      <w:pPr>
        <w:overflowPunct w:val="0"/>
        <w:spacing w:line="560" w:lineRule="exact"/>
        <w:ind w:firstLine="640"/>
        <w:rPr>
          <w:rFonts w:ascii="Times New Roman" w:hAnsi="Times New Roman" w:eastAsia="黑体" w:cs="Times New Roman"/>
          <w:color w:val="auto"/>
          <w:sz w:val="32"/>
          <w:szCs w:val="32"/>
          <w:highlight w:val="none"/>
        </w:rPr>
      </w:pPr>
      <w:r>
        <w:rPr>
          <w:rFonts w:hint="default" w:ascii="Times New Roman" w:hAnsi="Times New Roman" w:eastAsia="黑体" w:cs="Times New Roman"/>
          <w:sz w:val="32"/>
          <w:szCs w:val="32"/>
          <w:highlight w:val="none"/>
        </w:rPr>
        <w:t>三、</w:t>
      </w:r>
      <w:r>
        <w:rPr>
          <w:rFonts w:hint="default" w:ascii="Times New Roman" w:hAnsi="Times New Roman" w:eastAsia="黑体" w:cs="Times New Roman"/>
          <w:color w:val="auto"/>
          <w:sz w:val="32"/>
          <w:szCs w:val="32"/>
          <w:highlight w:val="none"/>
        </w:rPr>
        <w:t>关于</w:t>
      </w:r>
      <w:r>
        <w:rPr>
          <w:rFonts w:hint="default" w:ascii="Times New Roman" w:hAnsi="Times New Roman" w:eastAsia="黑体" w:cs="Times New Roman"/>
          <w:color w:val="auto"/>
          <w:sz w:val="32"/>
          <w:szCs w:val="32"/>
          <w:highlight w:val="none"/>
          <w:lang w:eastAsia="zh-CN"/>
        </w:rPr>
        <w:t>三亚市河长制服务中心202</w:t>
      </w:r>
      <w:r>
        <w:rPr>
          <w:rFonts w:hint="default" w:ascii="Times New Roman" w:hAnsi="Times New Roman" w:eastAsia="黑体" w:cs="Times New Roman"/>
          <w:color w:val="auto"/>
          <w:sz w:val="32"/>
          <w:szCs w:val="32"/>
          <w:highlight w:val="none"/>
          <w:lang w:val="en-US" w:eastAsia="zh-CN"/>
        </w:rPr>
        <w:t>2</w:t>
      </w:r>
      <w:r>
        <w:rPr>
          <w:rFonts w:hint="default" w:ascii="Times New Roman" w:hAnsi="Times New Roman" w:eastAsia="黑体" w:cs="Times New Roman"/>
          <w:color w:val="auto"/>
          <w:sz w:val="32"/>
          <w:szCs w:val="32"/>
          <w:highlight w:val="none"/>
          <w:lang w:eastAsia="zh-CN"/>
        </w:rPr>
        <w:t>年</w:t>
      </w:r>
      <w:r>
        <w:rPr>
          <w:rFonts w:hint="default" w:ascii="Times New Roman" w:hAnsi="Times New Roman" w:eastAsia="黑体" w:cs="Times New Roman"/>
          <w:color w:val="auto"/>
          <w:sz w:val="32"/>
          <w:szCs w:val="32"/>
          <w:highlight w:val="none"/>
        </w:rPr>
        <w:t>一般公共预算基本支出情况说明</w:t>
      </w:r>
    </w:p>
    <w:p>
      <w:pPr>
        <w:spacing w:line="560" w:lineRule="exact"/>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年一般公共预算基本支出为</w:t>
      </w:r>
      <w:r>
        <w:rPr>
          <w:rFonts w:hint="default" w:ascii="Times New Roman" w:hAnsi="Times New Roman" w:eastAsia="仿宋_GB2312" w:cs="Times New Roman"/>
          <w:color w:val="auto"/>
          <w:sz w:val="32"/>
          <w:szCs w:val="32"/>
          <w:highlight w:val="none"/>
          <w:lang w:val="en-US" w:eastAsia="zh-CN"/>
        </w:rPr>
        <w:t>113.87</w:t>
      </w:r>
      <w:r>
        <w:rPr>
          <w:rFonts w:hint="default" w:ascii="Times New Roman" w:hAnsi="Times New Roman" w:eastAsia="仿宋_GB2312" w:cs="Times New Roman"/>
          <w:color w:val="auto"/>
          <w:sz w:val="32"/>
          <w:szCs w:val="32"/>
          <w:highlight w:val="none"/>
        </w:rPr>
        <w:t>万元，其中：</w:t>
      </w:r>
    </w:p>
    <w:p>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人员经费</w:t>
      </w:r>
      <w:r>
        <w:rPr>
          <w:rFonts w:hint="default" w:ascii="Times New Roman" w:hAnsi="Times New Roman" w:eastAsia="仿宋_GB2312" w:cs="Times New Roman"/>
          <w:color w:val="auto"/>
          <w:sz w:val="32"/>
          <w:szCs w:val="32"/>
          <w:highlight w:val="none"/>
          <w:lang w:val="en-US" w:eastAsia="zh-CN"/>
        </w:rPr>
        <w:t>106.13</w:t>
      </w:r>
      <w:r>
        <w:rPr>
          <w:rFonts w:hint="default" w:ascii="Times New Roman" w:hAnsi="Times New Roman" w:eastAsia="仿宋_GB2312" w:cs="Times New Roman"/>
          <w:color w:val="auto"/>
          <w:sz w:val="32"/>
          <w:szCs w:val="32"/>
          <w:highlight w:val="none"/>
        </w:rPr>
        <w:t>万元，主要包括：基本工资、津贴补贴、绩效工资、</w:t>
      </w:r>
      <w:r>
        <w:rPr>
          <w:rFonts w:hint="default" w:ascii="Times New Roman" w:hAnsi="Times New Roman" w:eastAsia="仿宋_GB2312" w:cs="Times New Roman"/>
          <w:color w:val="auto"/>
          <w:sz w:val="32"/>
          <w:szCs w:val="32"/>
          <w:highlight w:val="none"/>
          <w:lang w:eastAsia="zh-CN"/>
        </w:rPr>
        <w:t>机关事业单位基本养老保险缴费、城镇职工基本医疗保险缴费、公务员医疗补助缴费</w:t>
      </w:r>
      <w:r>
        <w:rPr>
          <w:rFonts w:hint="default" w:ascii="Times New Roman" w:hAnsi="Times New Roman" w:eastAsia="仿宋_GB2312" w:cs="Times New Roman"/>
          <w:color w:val="auto"/>
          <w:sz w:val="32"/>
          <w:szCs w:val="32"/>
          <w:highlight w:val="none"/>
        </w:rPr>
        <w:t>、其他社会保障缴费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住房公积金</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医疗费、</w:t>
      </w:r>
      <w:r>
        <w:rPr>
          <w:rFonts w:hint="default" w:ascii="Times New Roman" w:hAnsi="Times New Roman" w:eastAsia="仿宋_GB2312" w:cs="Times New Roman"/>
          <w:color w:val="auto"/>
          <w:sz w:val="32"/>
          <w:szCs w:val="32"/>
          <w:highlight w:val="none"/>
          <w:lang w:eastAsia="zh-CN"/>
        </w:rPr>
        <w:t>其他工资福利支出、邮电费；</w:t>
      </w:r>
    </w:p>
    <w:p>
      <w:pPr>
        <w:spacing w:line="560" w:lineRule="exact"/>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公用经费</w:t>
      </w:r>
      <w:r>
        <w:rPr>
          <w:rFonts w:hint="default" w:ascii="Times New Roman" w:hAnsi="Times New Roman" w:eastAsia="仿宋_GB2312" w:cs="Times New Roman"/>
          <w:color w:val="auto"/>
          <w:sz w:val="32"/>
          <w:szCs w:val="32"/>
          <w:highlight w:val="none"/>
          <w:lang w:val="en-US" w:eastAsia="zh-CN"/>
        </w:rPr>
        <w:t>7.74</w:t>
      </w:r>
      <w:r>
        <w:rPr>
          <w:rFonts w:hint="default" w:ascii="Times New Roman" w:hAnsi="Times New Roman" w:eastAsia="仿宋_GB2312" w:cs="Times New Roman"/>
          <w:color w:val="auto"/>
          <w:sz w:val="32"/>
          <w:szCs w:val="32"/>
          <w:highlight w:val="none"/>
        </w:rPr>
        <w:t>万元，主要包括：其他社会保障缴费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办公费、会议费</w:t>
      </w:r>
      <w:r>
        <w:rPr>
          <w:rFonts w:hint="default" w:ascii="Times New Roman" w:hAnsi="Times New Roman" w:eastAsia="仿宋_GB2312" w:cs="Times New Roman"/>
          <w:color w:val="auto"/>
          <w:sz w:val="32"/>
          <w:szCs w:val="32"/>
          <w:highlight w:val="none"/>
          <w:lang w:eastAsia="zh-CN"/>
        </w:rPr>
        <w:t>、培训费、工会经费、福利费</w:t>
      </w:r>
      <w:r>
        <w:rPr>
          <w:rFonts w:hint="default" w:ascii="Times New Roman" w:hAnsi="Times New Roman" w:eastAsia="仿宋_GB2312" w:cs="Times New Roman"/>
          <w:color w:val="auto"/>
          <w:sz w:val="32"/>
          <w:szCs w:val="32"/>
          <w:highlight w:val="none"/>
          <w:lang w:val="en-US" w:eastAsia="zh-CN"/>
        </w:rPr>
        <w:t>和其他商品和服务支出</w:t>
      </w:r>
      <w:r>
        <w:rPr>
          <w:rFonts w:hint="default" w:ascii="Times New Roman" w:hAnsi="Times New Roman" w:eastAsia="仿宋_GB2312" w:cs="Times New Roman"/>
          <w:color w:val="auto"/>
          <w:sz w:val="32"/>
          <w:szCs w:val="32"/>
          <w:highlight w:val="none"/>
        </w:rPr>
        <w:t>。</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highlight w:val="none"/>
          <w:shd w:val="clear" w:color="auto" w:fill="FFFFFF"/>
        </w:rPr>
        <w:t>四、</w:t>
      </w:r>
      <w:r>
        <w:rPr>
          <w:rFonts w:hint="default" w:ascii="Times New Roman" w:hAnsi="Times New Roman" w:eastAsia="黑体" w:cs="Times New Roman"/>
          <w:color w:val="auto"/>
          <w:sz w:val="32"/>
          <w:szCs w:val="32"/>
          <w:highlight w:val="none"/>
          <w:lang w:eastAsia="zh-CN"/>
        </w:rPr>
        <w:t>三亚市河长制服务中心202</w:t>
      </w:r>
      <w:r>
        <w:rPr>
          <w:rFonts w:hint="default" w:ascii="Times New Roman" w:hAnsi="Times New Roman" w:eastAsia="黑体" w:cs="Times New Roman"/>
          <w:color w:val="auto"/>
          <w:sz w:val="32"/>
          <w:szCs w:val="32"/>
          <w:highlight w:val="none"/>
          <w:lang w:val="en-US" w:eastAsia="zh-CN"/>
        </w:rPr>
        <w:t>2</w:t>
      </w:r>
      <w:r>
        <w:rPr>
          <w:rFonts w:hint="default" w:ascii="Times New Roman" w:hAnsi="Times New Roman" w:eastAsia="黑体" w:cs="Times New Roman"/>
          <w:color w:val="auto"/>
          <w:sz w:val="32"/>
          <w:szCs w:val="32"/>
          <w:highlight w:val="none"/>
          <w:lang w:eastAsia="zh-CN"/>
        </w:rPr>
        <w:t>年</w:t>
      </w:r>
      <w:r>
        <w:rPr>
          <w:rFonts w:hint="default" w:ascii="Times New Roman" w:hAnsi="Times New Roman" w:eastAsia="黑体" w:cs="Times New Roman"/>
          <w:color w:val="auto"/>
          <w:sz w:val="32"/>
          <w:szCs w:val="32"/>
          <w:highlight w:val="none"/>
          <w:shd w:val="clear" w:color="auto" w:fill="auto"/>
        </w:rPr>
        <w:t>“三公”经费</w:t>
      </w:r>
      <w:r>
        <w:rPr>
          <w:rFonts w:ascii="Times New Roman" w:hAnsi="Times New Roman" w:eastAsia="黑体" w:cs="Times New Roman"/>
          <w:color w:val="auto"/>
          <w:sz w:val="32"/>
          <w:highlight w:val="none"/>
          <w:shd w:val="clear" w:color="auto" w:fill="FFFFFF"/>
        </w:rPr>
        <w:t>预算情况</w:t>
      </w:r>
      <w:r>
        <w:rPr>
          <w:rFonts w:hint="default" w:ascii="Times New Roman" w:hAnsi="Times New Roman" w:eastAsia="黑体" w:cs="Times New Roman"/>
          <w:color w:val="auto"/>
          <w:sz w:val="32"/>
          <w:highlight w:val="none"/>
          <w:shd w:val="clear" w:color="auto" w:fill="FFFFFF"/>
        </w:rPr>
        <w:t>说明</w:t>
      </w:r>
    </w:p>
    <w:p>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w:t>
      </w: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年一般公共预算“三公”经费预算数为</w:t>
      </w:r>
      <w:r>
        <w:rPr>
          <w:rFonts w:hint="default" w:ascii="Times New Roman" w:hAnsi="Times New Roman" w:eastAsia="仿宋_GB2312" w:cs="Times New Roman"/>
          <w:b w:val="0"/>
          <w:bCs w:val="0"/>
          <w:color w:val="auto"/>
          <w:sz w:val="32"/>
          <w:szCs w:val="32"/>
          <w:highlight w:val="none"/>
          <w:lang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与上年预算</w:t>
      </w:r>
      <w:r>
        <w:rPr>
          <w:rFonts w:hint="default" w:ascii="Times New Roman" w:hAnsi="Times New Roman" w:eastAsia="仿宋_GB2312" w:cs="Times New Roman"/>
          <w:color w:val="auto"/>
          <w:sz w:val="32"/>
          <w:szCs w:val="32"/>
          <w:highlight w:val="none"/>
        </w:rPr>
        <w:t>数</w:t>
      </w:r>
      <w:r>
        <w:rPr>
          <w:rFonts w:hint="default" w:ascii="Times New Roman" w:hAnsi="Times New Roman" w:eastAsia="仿宋_GB2312" w:cs="Times New Roman"/>
          <w:color w:val="auto"/>
          <w:sz w:val="32"/>
          <w:szCs w:val="32"/>
          <w:highlight w:val="none"/>
          <w:lang w:eastAsia="zh-CN"/>
        </w:rPr>
        <w:t>持平。</w:t>
      </w:r>
    </w:p>
    <w:p>
      <w:pPr>
        <w:spacing w:line="560" w:lineRule="exact"/>
        <w:ind w:firstLine="640" w:firstLineChars="200"/>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rPr>
        <w:t>（二）</w:t>
      </w: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年政府性基金预算“三公”经费预算数为0万元，</w:t>
      </w:r>
      <w:r>
        <w:rPr>
          <w:rFonts w:hint="default" w:ascii="Times New Roman" w:hAnsi="Times New Roman" w:eastAsia="仿宋_GB2312" w:cs="Times New Roman"/>
          <w:color w:val="auto"/>
          <w:sz w:val="32"/>
          <w:szCs w:val="32"/>
          <w:highlight w:val="none"/>
          <w:lang w:eastAsia="zh-CN"/>
        </w:rPr>
        <w:t>与上年预算</w:t>
      </w:r>
      <w:r>
        <w:rPr>
          <w:rFonts w:hint="default" w:ascii="Times New Roman" w:hAnsi="Times New Roman" w:eastAsia="仿宋_GB2312" w:cs="Times New Roman"/>
          <w:color w:val="auto"/>
          <w:sz w:val="32"/>
          <w:szCs w:val="32"/>
          <w:highlight w:val="none"/>
        </w:rPr>
        <w:t>数</w:t>
      </w:r>
      <w:r>
        <w:rPr>
          <w:rFonts w:hint="default" w:ascii="Times New Roman" w:hAnsi="Times New Roman" w:eastAsia="仿宋_GB2312" w:cs="Times New Roman"/>
          <w:color w:val="auto"/>
          <w:sz w:val="32"/>
          <w:szCs w:val="32"/>
          <w:highlight w:val="none"/>
          <w:lang w:eastAsia="zh-CN"/>
        </w:rPr>
        <w:t>持平。</w:t>
      </w:r>
    </w:p>
    <w:p>
      <w:pPr>
        <w:overflowPunct w:val="0"/>
        <w:spacing w:line="560" w:lineRule="exact"/>
        <w:ind w:firstLine="640" w:firstLineChars="200"/>
        <w:rPr>
          <w:rFonts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sz w:val="32"/>
          <w:highlight w:val="none"/>
          <w:shd w:val="clear" w:color="auto" w:fill="FFFFFF"/>
        </w:rPr>
        <w:t>五、</w:t>
      </w:r>
      <w:r>
        <w:rPr>
          <w:rFonts w:hint="default" w:ascii="Times New Roman" w:hAnsi="Times New Roman" w:eastAsia="黑体" w:cs="Times New Roman"/>
          <w:color w:val="auto"/>
          <w:sz w:val="32"/>
          <w:highlight w:val="none"/>
          <w:shd w:val="clear" w:color="auto" w:fill="FFFFFF"/>
        </w:rPr>
        <w:t>关</w:t>
      </w:r>
      <w:r>
        <w:rPr>
          <w:rFonts w:hint="default" w:ascii="Times New Roman" w:hAnsi="Times New Roman" w:eastAsia="黑体" w:cs="Times New Roman"/>
          <w:color w:val="auto"/>
          <w:sz w:val="32"/>
          <w:szCs w:val="32"/>
          <w:highlight w:val="none"/>
          <w:shd w:val="clear" w:color="auto" w:fill="auto"/>
        </w:rPr>
        <w:t>于</w:t>
      </w:r>
      <w:r>
        <w:rPr>
          <w:rFonts w:hint="default" w:ascii="Times New Roman" w:hAnsi="Times New Roman" w:eastAsia="黑体" w:cs="Times New Roman"/>
          <w:color w:val="auto"/>
          <w:sz w:val="32"/>
          <w:szCs w:val="32"/>
          <w:highlight w:val="none"/>
          <w:lang w:eastAsia="zh-CN"/>
        </w:rPr>
        <w:t>三亚市河长制服务中心202</w:t>
      </w:r>
      <w:r>
        <w:rPr>
          <w:rFonts w:hint="default" w:ascii="Times New Roman" w:hAnsi="Times New Roman" w:eastAsia="黑体" w:cs="Times New Roman"/>
          <w:color w:val="auto"/>
          <w:sz w:val="32"/>
          <w:szCs w:val="32"/>
          <w:highlight w:val="none"/>
          <w:lang w:val="en-US" w:eastAsia="zh-CN"/>
        </w:rPr>
        <w:t>2</w:t>
      </w:r>
      <w:r>
        <w:rPr>
          <w:rFonts w:hint="default" w:ascii="Times New Roman" w:hAnsi="Times New Roman" w:eastAsia="黑体" w:cs="Times New Roman"/>
          <w:color w:val="auto"/>
          <w:sz w:val="32"/>
          <w:szCs w:val="32"/>
          <w:highlight w:val="none"/>
          <w:lang w:eastAsia="zh-CN"/>
        </w:rPr>
        <w:t>年</w:t>
      </w:r>
      <w:r>
        <w:rPr>
          <w:rFonts w:hint="default" w:ascii="Times New Roman" w:hAnsi="Times New Roman" w:eastAsia="黑体" w:cs="Times New Roman"/>
          <w:color w:val="auto"/>
          <w:sz w:val="32"/>
          <w:szCs w:val="32"/>
          <w:highlight w:val="none"/>
          <w:shd w:val="clear" w:color="auto" w:fill="auto"/>
        </w:rPr>
        <w:t>政府</w:t>
      </w:r>
      <w:r>
        <w:rPr>
          <w:rFonts w:hint="default" w:ascii="Times New Roman" w:hAnsi="Times New Roman" w:eastAsia="黑体" w:cs="Times New Roman"/>
          <w:color w:val="auto"/>
          <w:sz w:val="32"/>
          <w:highlight w:val="none"/>
          <w:shd w:val="clear" w:color="auto" w:fill="FFFFFF"/>
        </w:rPr>
        <w:t>性基金预算当年拨款情况说明</w:t>
      </w:r>
    </w:p>
    <w:p>
      <w:pPr>
        <w:spacing w:line="560" w:lineRule="exact"/>
        <w:ind w:firstLine="640" w:firstLineChars="200"/>
        <w:jc w:val="left"/>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（一）政府性基金预算当年规模变化情况</w:t>
      </w:r>
    </w:p>
    <w:p>
      <w:pPr>
        <w:overflowPunct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三亚市河长制服务中心202</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年</w:t>
      </w:r>
      <w:r>
        <w:rPr>
          <w:rFonts w:hint="default" w:ascii="Times New Roman" w:hAnsi="Times New Roman" w:eastAsia="仿宋_GB2312" w:cs="Times New Roman"/>
          <w:color w:val="auto"/>
          <w:sz w:val="32"/>
          <w:szCs w:val="32"/>
          <w:highlight w:val="none"/>
        </w:rPr>
        <w:t>政府性基金预算当年拨款</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与</w:t>
      </w:r>
      <w:r>
        <w:rPr>
          <w:rFonts w:hint="default" w:ascii="Times New Roman" w:hAnsi="Times New Roman" w:eastAsia="仿宋_GB2312" w:cs="Times New Roman"/>
          <w:color w:val="auto"/>
          <w:sz w:val="32"/>
          <w:szCs w:val="32"/>
          <w:highlight w:val="none"/>
        </w:rPr>
        <w:t>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农林水</w:t>
      </w:r>
      <w:r>
        <w:rPr>
          <w:rFonts w:hint="eastAsia" w:ascii="仿宋_GB2312" w:hAnsi="黑体" w:eastAsia="仿宋_GB2312" w:cs="仿宋_GB2312"/>
          <w:sz w:val="32"/>
          <w:szCs w:val="32"/>
        </w:rPr>
        <w:t>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Times New Roman" w:hAnsi="Times New Roman" w:eastAsia="仿宋_GB2312" w:cs="Times New Roman"/>
          <w:sz w:val="32"/>
          <w:szCs w:val="32"/>
        </w:rPr>
        <w:t>与上年预算持平。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overflowPunct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ascii="仿宋_GB2312" w:hAnsi="黑体" w:eastAsia="仿宋_GB2312" w:cs="仿宋_GB2312"/>
          <w:sz w:val="32"/>
          <w:szCs w:val="32"/>
        </w:rPr>
        <w:t>1.</w:t>
      </w:r>
      <w:r>
        <w:rPr>
          <w:rFonts w:ascii="Times New Roman" w:hAnsi="Times New Roman" w:eastAsia="仿宋_GB2312" w:cs="Times New Roman"/>
          <w:sz w:val="32"/>
          <w:szCs w:val="32"/>
        </w:rPr>
        <w:t xml:space="preserve"> 农林水（类）水利（款）</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bookmarkStart w:id="0" w:name="_GoBack"/>
      <w:bookmarkEnd w:id="0"/>
    </w:p>
    <w:p>
      <w:pPr>
        <w:spacing w:line="560" w:lineRule="exact"/>
        <w:ind w:firstLine="640" w:firstLineChars="200"/>
        <w:rPr>
          <w:rFonts w:hint="default" w:ascii="Times New Roman" w:hAnsi="Times New Roman" w:eastAsia="黑体" w:cs="Times New Roman"/>
          <w:color w:val="auto"/>
          <w:sz w:val="32"/>
          <w:szCs w:val="32"/>
          <w:highlight w:val="none"/>
          <w:shd w:val="clear" w:color="auto" w:fill="auto"/>
        </w:rPr>
      </w:pPr>
      <w:r>
        <w:rPr>
          <w:rFonts w:hint="default" w:ascii="Times New Roman" w:hAnsi="Times New Roman" w:eastAsia="黑体" w:cs="Times New Roman"/>
          <w:color w:val="auto"/>
          <w:sz w:val="32"/>
          <w:highlight w:val="none"/>
          <w:shd w:val="clear" w:color="auto" w:fill="FFFFFF"/>
        </w:rPr>
        <w:t>六、</w:t>
      </w:r>
      <w:r>
        <w:rPr>
          <w:rFonts w:hint="default" w:ascii="Times New Roman" w:hAnsi="Times New Roman" w:eastAsia="黑体" w:cs="Times New Roman"/>
          <w:color w:val="auto"/>
          <w:sz w:val="32"/>
          <w:szCs w:val="32"/>
          <w:highlight w:val="none"/>
          <w:shd w:val="clear" w:color="auto" w:fill="auto"/>
        </w:rPr>
        <w:t>关于</w:t>
      </w:r>
      <w:r>
        <w:rPr>
          <w:rFonts w:hint="default" w:ascii="Times New Roman" w:hAnsi="Times New Roman" w:eastAsia="黑体" w:cs="Times New Roman"/>
          <w:color w:val="auto"/>
          <w:sz w:val="32"/>
          <w:szCs w:val="32"/>
          <w:highlight w:val="none"/>
          <w:lang w:eastAsia="zh-CN"/>
        </w:rPr>
        <w:t>三亚市河长制服务中心</w:t>
      </w:r>
      <w:r>
        <w:rPr>
          <w:rFonts w:hint="default" w:ascii="Times New Roman" w:hAnsi="Times New Roman" w:eastAsia="黑体" w:cs="Times New Roman"/>
          <w:color w:val="auto"/>
          <w:sz w:val="32"/>
          <w:szCs w:val="32"/>
          <w:highlight w:val="none"/>
          <w:shd w:val="clear" w:color="auto" w:fill="auto"/>
          <w:lang w:val="en-US" w:eastAsia="zh-CN"/>
        </w:rPr>
        <w:t>2022</w:t>
      </w:r>
      <w:r>
        <w:rPr>
          <w:rFonts w:hint="default" w:ascii="Times New Roman" w:hAnsi="Times New Roman" w:eastAsia="黑体" w:cs="Times New Roman"/>
          <w:color w:val="auto"/>
          <w:sz w:val="32"/>
          <w:szCs w:val="32"/>
          <w:highlight w:val="none"/>
          <w:shd w:val="clear" w:color="auto" w:fill="auto"/>
        </w:rPr>
        <w:t>年收支预算情况的总体说明</w:t>
      </w:r>
    </w:p>
    <w:p>
      <w:pPr>
        <w:overflowPunct w:val="0"/>
        <w:spacing w:line="560" w:lineRule="exact"/>
        <w:ind w:firstLine="640" w:firstLineChars="200"/>
        <w:jc w:val="both"/>
        <w:rPr>
          <w:rFonts w:hint="default" w:ascii="Times New Roman" w:hAnsi="Times New Roman" w:eastAsia="楷体" w:cs="Times New Roman"/>
          <w:color w:val="auto"/>
          <w:sz w:val="32"/>
          <w:szCs w:val="32"/>
          <w:highlight w:val="none"/>
        </w:rPr>
      </w:pPr>
      <w:r>
        <w:rPr>
          <w:rFonts w:hint="default" w:ascii="Times New Roman" w:hAnsi="Times New Roman" w:eastAsia="仿宋_GB2312" w:cs="Times New Roman"/>
          <w:color w:val="auto"/>
          <w:sz w:val="32"/>
          <w:szCs w:val="32"/>
          <w:highlight w:val="none"/>
        </w:rPr>
        <w:t>按照综合预算原则，</w:t>
      </w: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rPr>
        <w:t>所有收入和支出均纳入</w:t>
      </w:r>
      <w:r>
        <w:rPr>
          <w:rFonts w:hint="default" w:ascii="Times New Roman" w:hAnsi="Times New Roman" w:eastAsia="仿宋_GB2312" w:cs="Times New Roman"/>
          <w:color w:val="auto"/>
          <w:sz w:val="32"/>
          <w:szCs w:val="32"/>
          <w:highlight w:val="none"/>
          <w:lang w:eastAsia="zh-CN"/>
        </w:rPr>
        <w:t>单位</w:t>
      </w:r>
      <w:r>
        <w:rPr>
          <w:rFonts w:hint="default" w:ascii="Times New Roman" w:hAnsi="Times New Roman" w:eastAsia="仿宋_GB2312" w:cs="Times New Roman"/>
          <w:color w:val="auto"/>
          <w:sz w:val="32"/>
          <w:szCs w:val="32"/>
          <w:highlight w:val="none"/>
        </w:rPr>
        <w:t>预算管理。收入包括：一般公共预算收入；支出包括：社会保障和就业支出</w:t>
      </w:r>
      <w:r>
        <w:rPr>
          <w:rFonts w:hint="default" w:ascii="Times New Roman" w:hAnsi="Times New Roman" w:eastAsia="仿宋_GB2312" w:cs="Times New Roman"/>
          <w:color w:val="auto"/>
          <w:sz w:val="32"/>
          <w:szCs w:val="32"/>
          <w:highlight w:val="none"/>
          <w:lang w:eastAsia="zh-CN"/>
        </w:rPr>
        <w:t>、卫生健康支出、农林水支出、住房保障支出</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年收支总预算</w:t>
      </w:r>
      <w:r>
        <w:rPr>
          <w:rFonts w:hint="default" w:ascii="Times New Roman" w:hAnsi="Times New Roman" w:eastAsia="仿宋_GB2312" w:cs="Times New Roman"/>
          <w:color w:val="auto"/>
          <w:sz w:val="32"/>
          <w:szCs w:val="32"/>
          <w:highlight w:val="none"/>
          <w:lang w:val="en-US" w:eastAsia="zh-CN"/>
        </w:rPr>
        <w:t>463.87</w:t>
      </w:r>
      <w:r>
        <w:rPr>
          <w:rFonts w:hint="default" w:ascii="Times New Roman" w:hAnsi="Times New Roman" w:eastAsia="仿宋_GB2312" w:cs="Times New Roman"/>
          <w:color w:val="auto"/>
          <w:sz w:val="32"/>
          <w:szCs w:val="32"/>
          <w:highlight w:val="none"/>
        </w:rPr>
        <w:t>万元。</w:t>
      </w:r>
    </w:p>
    <w:p>
      <w:pPr>
        <w:spacing w:line="560" w:lineRule="exact"/>
        <w:ind w:firstLine="640" w:firstLineChars="200"/>
        <w:rPr>
          <w:rFonts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sz w:val="32"/>
          <w:highlight w:val="none"/>
          <w:shd w:val="clear" w:color="auto" w:fill="FFFFFF"/>
        </w:rPr>
        <w:t>七、</w:t>
      </w:r>
      <w:r>
        <w:rPr>
          <w:rFonts w:hint="default" w:ascii="Times New Roman" w:hAnsi="Times New Roman" w:eastAsia="黑体" w:cs="Times New Roman"/>
          <w:color w:val="auto"/>
          <w:sz w:val="32"/>
          <w:szCs w:val="32"/>
          <w:highlight w:val="none"/>
          <w:shd w:val="clear" w:color="auto" w:fill="auto"/>
        </w:rPr>
        <w:t>关于</w:t>
      </w:r>
      <w:r>
        <w:rPr>
          <w:rFonts w:hint="default" w:ascii="Times New Roman" w:hAnsi="Times New Roman" w:eastAsia="黑体" w:cs="Times New Roman"/>
          <w:color w:val="auto"/>
          <w:sz w:val="32"/>
          <w:szCs w:val="32"/>
          <w:highlight w:val="none"/>
          <w:lang w:eastAsia="zh-CN"/>
        </w:rPr>
        <w:t>三亚市河长制服务中心</w:t>
      </w:r>
      <w:r>
        <w:rPr>
          <w:rFonts w:hint="default" w:ascii="Times New Roman" w:hAnsi="Times New Roman" w:eastAsia="黑体" w:cs="Times New Roman"/>
          <w:color w:val="auto"/>
          <w:sz w:val="32"/>
          <w:szCs w:val="32"/>
          <w:highlight w:val="none"/>
          <w:shd w:val="clear" w:color="auto" w:fill="auto"/>
          <w:lang w:val="en-US" w:eastAsia="zh-CN"/>
        </w:rPr>
        <w:t>2022</w:t>
      </w:r>
      <w:r>
        <w:rPr>
          <w:rFonts w:hint="default" w:ascii="Times New Roman" w:hAnsi="Times New Roman" w:eastAsia="黑体" w:cs="Times New Roman"/>
          <w:color w:val="auto"/>
          <w:sz w:val="32"/>
          <w:szCs w:val="32"/>
          <w:highlight w:val="none"/>
          <w:shd w:val="clear" w:color="auto" w:fill="auto"/>
        </w:rPr>
        <w:t>年收入预</w:t>
      </w:r>
      <w:r>
        <w:rPr>
          <w:rFonts w:hint="default" w:ascii="Times New Roman" w:hAnsi="Times New Roman" w:eastAsia="黑体" w:cs="Times New Roman"/>
          <w:color w:val="auto"/>
          <w:sz w:val="32"/>
          <w:highlight w:val="none"/>
          <w:shd w:val="clear" w:color="auto" w:fill="FFFFFF"/>
        </w:rPr>
        <w:t>算情况说明</w:t>
      </w:r>
    </w:p>
    <w:p>
      <w:pPr>
        <w:overflowPunct w:val="0"/>
        <w:spacing w:line="560" w:lineRule="exact"/>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年收入预算</w:t>
      </w:r>
      <w:r>
        <w:rPr>
          <w:rFonts w:hint="default" w:ascii="Times New Roman" w:hAnsi="Times New Roman" w:eastAsia="仿宋_GB2312" w:cs="Times New Roman"/>
          <w:color w:val="auto"/>
          <w:sz w:val="32"/>
          <w:szCs w:val="32"/>
          <w:highlight w:val="none"/>
          <w:lang w:val="en-US" w:eastAsia="zh-CN"/>
        </w:rPr>
        <w:t>463.87</w:t>
      </w:r>
      <w:r>
        <w:rPr>
          <w:rFonts w:hint="default" w:ascii="Times New Roman" w:hAnsi="Times New Roman" w:eastAsia="仿宋_GB2312" w:cs="Times New Roman"/>
          <w:color w:val="auto"/>
          <w:sz w:val="32"/>
          <w:szCs w:val="32"/>
          <w:highlight w:val="none"/>
        </w:rPr>
        <w:t>万元，其中：一般公共预算拨款收入</w:t>
      </w:r>
      <w:r>
        <w:rPr>
          <w:rFonts w:hint="default" w:ascii="Times New Roman" w:hAnsi="Times New Roman" w:eastAsia="仿宋_GB2312" w:cs="Times New Roman"/>
          <w:color w:val="auto"/>
          <w:sz w:val="32"/>
          <w:szCs w:val="32"/>
          <w:highlight w:val="none"/>
          <w:lang w:val="en-US" w:eastAsia="zh-CN"/>
        </w:rPr>
        <w:t>463.87</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%；比上年预算数</w:t>
      </w:r>
      <w:r>
        <w:rPr>
          <w:rFonts w:hint="default" w:ascii="Times New Roman" w:hAnsi="Times New Roman" w:eastAsia="仿宋_GB2312" w:cs="Times New Roman"/>
          <w:color w:val="auto"/>
          <w:sz w:val="32"/>
          <w:szCs w:val="32"/>
          <w:highlight w:val="none"/>
          <w:lang w:val="en-US" w:eastAsia="zh-CN"/>
        </w:rPr>
        <w:t>减少357.44</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val="en-US" w:eastAsia="zh-CN"/>
        </w:rPr>
        <w:t>项目资金减少导致</w:t>
      </w:r>
      <w:r>
        <w:rPr>
          <w:rFonts w:hint="default" w:ascii="Times New Roman" w:hAnsi="Times New Roman" w:eastAsia="仿宋_GB2312" w:cs="Times New Roman"/>
          <w:color w:val="auto"/>
          <w:sz w:val="32"/>
          <w:szCs w:val="32"/>
          <w:highlight w:val="none"/>
        </w:rPr>
        <w:t>。</w:t>
      </w:r>
    </w:p>
    <w:p>
      <w:pPr>
        <w:spacing w:line="560" w:lineRule="exact"/>
        <w:ind w:firstLine="640" w:firstLineChars="200"/>
        <w:rPr>
          <w:rFonts w:hint="default" w:ascii="Times New Roman" w:hAnsi="Times New Roman" w:eastAsia="黑体" w:cs="Times New Roman"/>
          <w:color w:val="auto"/>
          <w:sz w:val="32"/>
          <w:szCs w:val="32"/>
          <w:highlight w:val="none"/>
          <w:shd w:val="clear" w:color="auto" w:fill="auto"/>
        </w:rPr>
      </w:pPr>
      <w:r>
        <w:rPr>
          <w:rFonts w:hint="default" w:ascii="Times New Roman" w:hAnsi="Times New Roman" w:eastAsia="黑体" w:cs="Times New Roman"/>
          <w:color w:val="auto"/>
          <w:sz w:val="32"/>
          <w:highlight w:val="none"/>
          <w:shd w:val="clear" w:color="auto" w:fill="FFFFFF"/>
        </w:rPr>
        <w:t>八、关</w:t>
      </w:r>
      <w:r>
        <w:rPr>
          <w:rFonts w:hint="default" w:ascii="Times New Roman" w:hAnsi="Times New Roman" w:eastAsia="黑体" w:cs="Times New Roman"/>
          <w:color w:val="auto"/>
          <w:sz w:val="32"/>
          <w:szCs w:val="32"/>
          <w:highlight w:val="none"/>
          <w:shd w:val="clear" w:color="auto" w:fill="auto"/>
        </w:rPr>
        <w:t>于</w:t>
      </w:r>
      <w:r>
        <w:rPr>
          <w:rFonts w:hint="default" w:ascii="Times New Roman" w:hAnsi="Times New Roman" w:eastAsia="黑体" w:cs="Times New Roman"/>
          <w:color w:val="auto"/>
          <w:sz w:val="32"/>
          <w:szCs w:val="32"/>
          <w:highlight w:val="none"/>
          <w:lang w:eastAsia="zh-CN"/>
        </w:rPr>
        <w:t>三亚市河长制服务中心</w:t>
      </w:r>
      <w:r>
        <w:rPr>
          <w:rFonts w:hint="default" w:ascii="Times New Roman" w:hAnsi="Times New Roman" w:eastAsia="黑体" w:cs="Times New Roman"/>
          <w:color w:val="auto"/>
          <w:sz w:val="32"/>
          <w:szCs w:val="32"/>
          <w:highlight w:val="none"/>
          <w:shd w:val="clear" w:color="auto" w:fill="auto"/>
          <w:lang w:val="en-US" w:eastAsia="zh-CN"/>
        </w:rPr>
        <w:t>2022</w:t>
      </w:r>
      <w:r>
        <w:rPr>
          <w:rFonts w:hint="default" w:ascii="Times New Roman" w:hAnsi="Times New Roman" w:eastAsia="黑体" w:cs="Times New Roman"/>
          <w:color w:val="auto"/>
          <w:sz w:val="32"/>
          <w:szCs w:val="32"/>
          <w:highlight w:val="none"/>
          <w:shd w:val="clear" w:color="auto" w:fill="auto"/>
        </w:rPr>
        <w:t>年支出预算情况说明</w:t>
      </w:r>
    </w:p>
    <w:p>
      <w:pPr>
        <w:overflowPunct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年支出预算</w:t>
      </w:r>
      <w:r>
        <w:rPr>
          <w:rFonts w:hint="default" w:ascii="Times New Roman" w:hAnsi="Times New Roman" w:eastAsia="仿宋_GB2312" w:cs="Times New Roman"/>
          <w:color w:val="auto"/>
          <w:sz w:val="32"/>
          <w:szCs w:val="32"/>
          <w:highlight w:val="none"/>
          <w:lang w:val="en-US" w:eastAsia="zh-CN"/>
        </w:rPr>
        <w:t>463.87</w:t>
      </w:r>
      <w:r>
        <w:rPr>
          <w:rFonts w:hint="default" w:ascii="Times New Roman" w:hAnsi="Times New Roman" w:eastAsia="仿宋_GB2312" w:cs="Times New Roman"/>
          <w:color w:val="auto"/>
          <w:sz w:val="32"/>
          <w:szCs w:val="32"/>
          <w:highlight w:val="none"/>
        </w:rPr>
        <w:t>万元，其中：基本支出</w:t>
      </w:r>
      <w:r>
        <w:rPr>
          <w:rFonts w:hint="default" w:ascii="Times New Roman" w:hAnsi="Times New Roman" w:eastAsia="仿宋_GB2312" w:cs="Times New Roman"/>
          <w:color w:val="auto"/>
          <w:sz w:val="32"/>
          <w:szCs w:val="32"/>
          <w:highlight w:val="none"/>
          <w:lang w:val="en-US" w:eastAsia="zh-CN"/>
        </w:rPr>
        <w:t>113.87</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24.55</w:t>
      </w:r>
      <w:r>
        <w:rPr>
          <w:rFonts w:hint="default" w:ascii="Times New Roman" w:hAnsi="Times New Roman" w:eastAsia="仿宋_GB2312" w:cs="Times New Roman"/>
          <w:color w:val="auto"/>
          <w:sz w:val="32"/>
          <w:szCs w:val="32"/>
          <w:highlight w:val="none"/>
        </w:rPr>
        <w:t>%；项目支出</w:t>
      </w:r>
      <w:r>
        <w:rPr>
          <w:rFonts w:hint="default" w:ascii="Times New Roman" w:hAnsi="Times New Roman" w:eastAsia="仿宋_GB2312" w:cs="Times New Roman"/>
          <w:color w:val="auto"/>
          <w:sz w:val="32"/>
          <w:szCs w:val="32"/>
          <w:highlight w:val="none"/>
          <w:lang w:val="en-US" w:eastAsia="zh-CN"/>
        </w:rPr>
        <w:t>350.00</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75.45</w:t>
      </w:r>
      <w:r>
        <w:rPr>
          <w:rFonts w:hint="default" w:ascii="Times New Roman" w:hAnsi="Times New Roman" w:eastAsia="仿宋_GB2312" w:cs="Times New Roman"/>
          <w:color w:val="auto"/>
          <w:sz w:val="32"/>
          <w:szCs w:val="32"/>
          <w:highlight w:val="none"/>
        </w:rPr>
        <w:t>%。比上年预算数</w:t>
      </w:r>
      <w:r>
        <w:rPr>
          <w:rFonts w:hint="default" w:ascii="Times New Roman" w:hAnsi="Times New Roman" w:eastAsia="仿宋_GB2312" w:cs="Times New Roman"/>
          <w:color w:val="auto"/>
          <w:sz w:val="32"/>
          <w:szCs w:val="32"/>
          <w:highlight w:val="none"/>
          <w:lang w:val="en-US" w:eastAsia="zh-CN"/>
        </w:rPr>
        <w:t>减少357.44</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val="en-US" w:eastAsia="zh-CN"/>
        </w:rPr>
        <w:t>项目资金减少导致</w:t>
      </w:r>
      <w:r>
        <w:rPr>
          <w:rFonts w:hint="default" w:ascii="Times New Roman" w:hAnsi="Times New Roman" w:eastAsia="仿宋_GB2312" w:cs="Times New Roman"/>
          <w:color w:val="auto"/>
          <w:sz w:val="32"/>
          <w:szCs w:val="32"/>
          <w:highlight w:val="none"/>
        </w:rPr>
        <w:t>。</w:t>
      </w:r>
    </w:p>
    <w:p>
      <w:pPr>
        <w:ind w:firstLine="640" w:firstLineChars="200"/>
        <w:rPr>
          <w:rFonts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九、其他重要事项的情况说明</w:t>
      </w:r>
    </w:p>
    <w:p>
      <w:pPr>
        <w:ind w:firstLine="640" w:firstLineChars="200"/>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rPr>
        <w:t>（一）机关运行经费</w:t>
      </w:r>
      <w:r>
        <w:rPr>
          <w:rFonts w:hint="default" w:ascii="Times New Roman" w:hAnsi="Times New Roman" w:eastAsia="楷体" w:cs="Times New Roman"/>
          <w:sz w:val="32"/>
          <w:szCs w:val="32"/>
          <w:highlight w:val="none"/>
          <w:lang w:val="en-US" w:eastAsia="zh-CN"/>
        </w:rPr>
        <w:t>（</w:t>
      </w:r>
      <w:r>
        <w:rPr>
          <w:rFonts w:hint="default" w:ascii="Times New Roman" w:hAnsi="Times New Roman" w:eastAsia="楷体" w:cs="Times New Roman"/>
          <w:sz w:val="32"/>
          <w:szCs w:val="32"/>
          <w:highlight w:val="none"/>
        </w:rPr>
        <w:t>行政单位</w:t>
      </w:r>
      <w:r>
        <w:rPr>
          <w:rFonts w:hint="default" w:ascii="Times New Roman" w:hAnsi="Times New Roman" w:eastAsia="楷体" w:cs="Times New Roman"/>
          <w:sz w:val="32"/>
          <w:szCs w:val="32"/>
          <w:highlight w:val="none"/>
          <w:lang w:eastAsia="zh-CN"/>
        </w:rPr>
        <w:t>、</w:t>
      </w:r>
      <w:r>
        <w:rPr>
          <w:rFonts w:hint="default" w:ascii="Times New Roman" w:hAnsi="Times New Roman" w:eastAsia="楷体" w:cs="Times New Roman"/>
          <w:sz w:val="32"/>
          <w:szCs w:val="32"/>
          <w:highlight w:val="none"/>
        </w:rPr>
        <w:t>参照公务员法管理的事业单位</w:t>
      </w:r>
      <w:r>
        <w:rPr>
          <w:rFonts w:hint="default" w:ascii="Times New Roman" w:hAnsi="Times New Roman" w:eastAsia="楷体" w:cs="Times New Roman"/>
          <w:sz w:val="32"/>
          <w:szCs w:val="32"/>
          <w:highlight w:val="none"/>
          <w:lang w:eastAsia="zh-CN"/>
        </w:rPr>
        <w:t>需说明，其他单位不需要说明</w:t>
      </w:r>
      <w:r>
        <w:rPr>
          <w:rFonts w:hint="default" w:ascii="Times New Roman" w:hAnsi="Times New Roman" w:eastAsia="楷体" w:cs="Times New Roman"/>
          <w:sz w:val="32"/>
          <w:szCs w:val="32"/>
          <w:highlight w:val="none"/>
          <w:lang w:val="en-US" w:eastAsia="zh-CN"/>
        </w:rPr>
        <w:t>）</w:t>
      </w:r>
    </w:p>
    <w:p>
      <w:pPr>
        <w:ind w:firstLine="640" w:firstLineChars="200"/>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无</w:t>
      </w:r>
    </w:p>
    <w:p>
      <w:pPr>
        <w:ind w:firstLine="640" w:firstLineChars="200"/>
        <w:rPr>
          <w:rFonts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（二）政府采购情况</w:t>
      </w:r>
    </w:p>
    <w:p>
      <w:pPr>
        <w:spacing w:line="560" w:lineRule="exact"/>
        <w:ind w:firstLine="64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rPr>
        <w:t>政府采购预算总额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万元，其中：政府采购货物预算</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万元，政府采购工程预算</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万元，政府采购服务预算</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spacing w:line="560" w:lineRule="exact"/>
        <w:ind w:firstLine="640" w:firstLineChars="200"/>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（三）国有资产占有使用情况</w:t>
      </w:r>
    </w:p>
    <w:p>
      <w:pPr>
        <w:spacing w:line="560" w:lineRule="exact"/>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截至</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年12月31日，</w:t>
      </w: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rPr>
        <w:t>本级及下属各预算单位共有车辆</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其中，</w:t>
      </w:r>
      <w:r>
        <w:rPr>
          <w:rFonts w:hint="default" w:ascii="Times New Roman" w:hAnsi="Times New Roman" w:eastAsia="仿宋_GB2312" w:cs="Times New Roman"/>
          <w:color w:val="auto"/>
          <w:sz w:val="32"/>
          <w:szCs w:val="32"/>
          <w:highlight w:val="none"/>
          <w:lang w:eastAsia="zh-CN"/>
        </w:rPr>
        <w:t>一般公务用车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辆。单位价值100万元以上设备</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w:t>
      </w:r>
    </w:p>
    <w:p>
      <w:pPr>
        <w:spacing w:line="560" w:lineRule="exact"/>
        <w:ind w:firstLine="640" w:firstLineChars="200"/>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（四）绩效目标设置情况</w:t>
      </w:r>
    </w:p>
    <w:p>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三亚市河长制服务中心</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个项目实行绩效目标管理，涉及一般公共预算</w:t>
      </w:r>
      <w:r>
        <w:rPr>
          <w:rFonts w:hint="default" w:ascii="Times New Roman" w:hAnsi="Times New Roman" w:eastAsia="仿宋_GB2312" w:cs="Times New Roman"/>
          <w:color w:val="auto"/>
          <w:sz w:val="32"/>
          <w:szCs w:val="32"/>
          <w:highlight w:val="none"/>
          <w:lang w:val="en-US" w:eastAsia="zh-CN"/>
        </w:rPr>
        <w:t>463.87</w:t>
      </w:r>
      <w:r>
        <w:rPr>
          <w:rFonts w:hint="default" w:ascii="Times New Roman" w:hAnsi="Times New Roman" w:eastAsia="仿宋_GB2312" w:cs="Times New Roman"/>
          <w:color w:val="auto"/>
          <w:sz w:val="32"/>
          <w:szCs w:val="32"/>
          <w:highlight w:val="none"/>
        </w:rPr>
        <w:t>万元、政府性基金</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jc w:val="left"/>
        <w:rPr>
          <w:rFonts w:ascii="Times New Roman" w:hAnsi="Times New Roman" w:eastAsia="仿宋_GB2312" w:cs="Times New Roman"/>
          <w:color w:val="000000"/>
          <w:kern w:val="0"/>
          <w:sz w:val="32"/>
          <w:szCs w:val="30"/>
          <w:highlight w:val="none"/>
        </w:rPr>
      </w:pPr>
    </w:p>
    <w:p>
      <w:pPr>
        <w:jc w:val="center"/>
        <w:rPr>
          <w:rFonts w:ascii="Times New Roman" w:hAnsi="Times New Roman" w:eastAsia="黑体" w:cs="Times New Roman"/>
          <w:b/>
          <w:sz w:val="32"/>
          <w:szCs w:val="32"/>
          <w:highlight w:val="none"/>
        </w:rPr>
      </w:pPr>
      <w:r>
        <w:rPr>
          <w:rFonts w:hint="default" w:ascii="Times New Roman" w:hAnsi="Times New Roman" w:eastAsia="黑体" w:cs="Times New Roman"/>
          <w:b/>
          <w:sz w:val="32"/>
          <w:szCs w:val="32"/>
          <w:highlight w:val="none"/>
        </w:rPr>
        <w:t>第四部分  名词解释</w:t>
      </w:r>
    </w:p>
    <w:p>
      <w:pPr>
        <w:ind w:firstLine="640" w:firstLineChars="200"/>
        <w:jc w:val="left"/>
        <w:rPr>
          <w:rFonts w:ascii="Times New Roman" w:hAnsi="Times New Roman" w:eastAsia="仿宋_GB2312" w:cs="Times New Roman"/>
          <w:bCs/>
          <w:color w:val="000000"/>
          <w:kern w:val="0"/>
          <w:sz w:val="32"/>
          <w:szCs w:val="32"/>
          <w:highlight w:val="none"/>
          <w:lang w:val="zh-CN"/>
        </w:rPr>
      </w:pP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highlight w:val="none"/>
        </w:rPr>
      </w:pPr>
      <w:r>
        <w:rPr>
          <w:rFonts w:hint="default" w:ascii="Times New Roman" w:hAnsi="Times New Roman" w:eastAsia="仿宋_GB2312" w:cs="Times New Roman"/>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highlight w:val="none"/>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68F5F93"/>
    <w:multiLevelType w:val="singleLevel"/>
    <w:tmpl w:val="668F5F93"/>
    <w:lvl w:ilvl="0" w:tentative="0">
      <w:start w:val="1"/>
      <w:numFmt w:val="chineseCounting"/>
      <w:suff w:val="nothing"/>
      <w:lvlText w:val="（%1）"/>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9C52A3"/>
    <w:rsid w:val="0E871448"/>
    <w:rsid w:val="125C4821"/>
    <w:rsid w:val="1895570A"/>
    <w:rsid w:val="2A9C52A3"/>
    <w:rsid w:val="4D575D94"/>
    <w:rsid w:val="6DE16842"/>
    <w:rsid w:val="7A7504B8"/>
    <w:rsid w:val="8F4F5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2023-07-19T16:10:00Z</dcterms:created>
  <dc:creator>w</dc:creator>
  <cp:lastModifiedBy>w</cp:lastModifiedBy>
  <dcterms:modified xsi:type="dcterms:W3CDTF">2023-08-01T09:05:17Z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