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84"/>
          <w:szCs w:val="84"/>
          <w:u w:val="single"/>
        </w:rPr>
      </w:pPr>
    </w:p>
    <w:p>
      <w:pPr>
        <w:rPr>
          <w:sz w:val="84"/>
          <w:szCs w:val="84"/>
          <w:u w:val="single"/>
        </w:rPr>
      </w:pPr>
    </w:p>
    <w:p>
      <w:pPr>
        <w:rPr>
          <w:sz w:val="84"/>
          <w:szCs w:val="84"/>
          <w:u w:val="single"/>
        </w:rPr>
      </w:pPr>
    </w:p>
    <w:p>
      <w:pPr>
        <w:rPr>
          <w:sz w:val="84"/>
          <w:szCs w:val="84"/>
          <w:u w:val="single"/>
        </w:rPr>
      </w:pPr>
    </w:p>
    <w:p>
      <w:pPr>
        <w:jc w:val="center"/>
        <w:rPr>
          <w:rFonts w:hint="eastAsia" w:ascii="黑体" w:hAnsi="黑体" w:eastAsia="黑体" w:cs="黑体"/>
          <w:sz w:val="52"/>
          <w:szCs w:val="52"/>
        </w:rPr>
      </w:pPr>
      <w:r>
        <w:rPr>
          <w:rFonts w:hint="eastAsia" w:ascii="黑体" w:hAnsi="黑体" w:eastAsia="黑体" w:cs="黑体"/>
          <w:sz w:val="52"/>
          <w:szCs w:val="52"/>
        </w:rPr>
        <w:t>2022年三亚市建设工程质量安全监督站预算</w:t>
      </w: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rPr>
          <w:sz w:val="84"/>
          <w:szCs w:val="84"/>
        </w:rPr>
      </w:pPr>
    </w:p>
    <w:p>
      <w:pPr>
        <w:jc w:val="center"/>
        <w:rPr>
          <w:rFonts w:ascii="黑体" w:hAnsi="黑体" w:eastAsia="黑体"/>
          <w:sz w:val="52"/>
          <w:szCs w:val="52"/>
        </w:rPr>
      </w:pPr>
      <w:r>
        <w:rPr>
          <w:rFonts w:hint="eastAsia" w:ascii="黑体" w:hAnsi="黑体" w:eastAsia="黑体"/>
          <w:sz w:val="52"/>
          <w:szCs w:val="52"/>
        </w:rPr>
        <w:t>目录</w:t>
      </w:r>
    </w:p>
    <w:p>
      <w:pPr>
        <w:pStyle w:val="5"/>
        <w:numPr>
          <w:ilvl w:val="0"/>
          <w:numId w:val="1"/>
        </w:numPr>
        <w:ind w:firstLineChars="0"/>
        <w:jc w:val="left"/>
        <w:rPr>
          <w:rFonts w:ascii="黑体" w:hAnsi="黑体" w:eastAsia="黑体"/>
          <w:sz w:val="32"/>
          <w:szCs w:val="32"/>
        </w:rPr>
      </w:pPr>
      <w:r>
        <w:rPr>
          <w:rFonts w:hint="eastAsia" w:ascii="黑体" w:hAnsi="黑体" w:eastAsia="黑体"/>
          <w:sz w:val="32"/>
          <w:szCs w:val="32"/>
        </w:rPr>
        <w:t>三亚市建设工程质量安全监督站概况</w:t>
      </w:r>
    </w:p>
    <w:p>
      <w:pPr>
        <w:pStyle w:val="5"/>
        <w:numPr>
          <w:ilvl w:val="0"/>
          <w:numId w:val="2"/>
        </w:numPr>
        <w:ind w:firstLineChars="0"/>
        <w:jc w:val="left"/>
        <w:rPr>
          <w:rFonts w:ascii="黑体" w:hAnsi="黑体" w:eastAsia="黑体"/>
          <w:sz w:val="32"/>
          <w:szCs w:val="32"/>
        </w:rPr>
      </w:pPr>
      <w:r>
        <w:rPr>
          <w:rFonts w:hint="eastAsia" w:ascii="黑体" w:hAnsi="黑体" w:eastAsia="黑体"/>
          <w:sz w:val="32"/>
          <w:szCs w:val="32"/>
        </w:rPr>
        <w:t>主要职能</w:t>
      </w:r>
    </w:p>
    <w:p>
      <w:pPr>
        <w:pStyle w:val="5"/>
        <w:numPr>
          <w:ilvl w:val="0"/>
          <w:numId w:val="2"/>
        </w:numPr>
        <w:ind w:firstLineChars="0"/>
        <w:jc w:val="left"/>
        <w:rPr>
          <w:rFonts w:ascii="黑体" w:hAnsi="黑体" w:eastAsia="黑体"/>
          <w:sz w:val="32"/>
          <w:szCs w:val="32"/>
        </w:rPr>
      </w:pPr>
      <w:r>
        <w:rPr>
          <w:rFonts w:hint="eastAsia" w:ascii="黑体" w:hAnsi="黑体" w:eastAsia="黑体"/>
          <w:sz w:val="32"/>
          <w:szCs w:val="32"/>
        </w:rPr>
        <w:t>部门预算单位构成（单位公开没有这部分内容）</w:t>
      </w:r>
    </w:p>
    <w:p>
      <w:pPr>
        <w:pStyle w:val="5"/>
        <w:numPr>
          <w:ilvl w:val="0"/>
          <w:numId w:val="1"/>
        </w:numPr>
        <w:ind w:firstLineChars="0"/>
        <w:rPr>
          <w:rFonts w:ascii="黑体" w:hAnsi="黑体" w:eastAsia="黑体"/>
          <w:sz w:val="32"/>
          <w:szCs w:val="32"/>
        </w:rPr>
      </w:pPr>
      <w:r>
        <w:rPr>
          <w:rFonts w:hint="eastAsia" w:ascii="黑体" w:hAnsi="黑体" w:eastAsia="黑体"/>
          <w:sz w:val="32"/>
          <w:szCs w:val="32"/>
        </w:rPr>
        <w:t>三亚市建设工程质量安全监督站</w:t>
      </w:r>
      <w:r>
        <w:rPr>
          <w:rFonts w:ascii="黑体" w:hAnsi="黑体" w:eastAsia="黑体"/>
          <w:sz w:val="32"/>
          <w:szCs w:val="32"/>
        </w:rPr>
        <w:t>2022</w:t>
      </w:r>
      <w:r>
        <w:rPr>
          <w:rFonts w:hint="eastAsia" w:ascii="黑体" w:hAnsi="黑体" w:eastAsia="黑体"/>
          <w:sz w:val="32"/>
          <w:szCs w:val="32"/>
        </w:rPr>
        <w:t>年</w:t>
      </w:r>
      <w:r>
        <w:rPr>
          <w:rFonts w:hint="eastAsia" w:ascii="黑体" w:hAnsi="黑体" w:eastAsia="黑体"/>
          <w:sz w:val="32"/>
          <w:szCs w:val="32"/>
          <w:lang w:eastAsia="zh-CN"/>
        </w:rPr>
        <w:t>单位</w:t>
      </w:r>
      <w:r>
        <w:rPr>
          <w:rFonts w:hint="eastAsia" w:ascii="黑体" w:hAnsi="黑体" w:eastAsia="黑体"/>
          <w:sz w:val="32"/>
          <w:szCs w:val="32"/>
        </w:rPr>
        <w:t>预算表</w:t>
      </w:r>
    </w:p>
    <w:p>
      <w:pPr>
        <w:pStyle w:val="5"/>
        <w:numPr>
          <w:ilvl w:val="0"/>
          <w:numId w:val="3"/>
        </w:numPr>
        <w:ind w:firstLineChars="0"/>
        <w:rPr>
          <w:rFonts w:hint="eastAsia" w:ascii="仿宋" w:hAnsi="仿宋" w:eastAsia="仿宋" w:cs="仿宋"/>
          <w:sz w:val="32"/>
          <w:szCs w:val="32"/>
        </w:rPr>
      </w:pPr>
      <w:r>
        <w:rPr>
          <w:rFonts w:hint="eastAsia" w:ascii="仿宋" w:hAnsi="仿宋" w:eastAsia="仿宋" w:cs="仿宋"/>
          <w:sz w:val="32"/>
          <w:szCs w:val="32"/>
        </w:rPr>
        <w:t>财政拨款收支总表</w:t>
      </w:r>
    </w:p>
    <w:p>
      <w:pPr>
        <w:pStyle w:val="5"/>
        <w:numPr>
          <w:ilvl w:val="0"/>
          <w:numId w:val="3"/>
        </w:numPr>
        <w:ind w:firstLineChars="0"/>
        <w:rPr>
          <w:rFonts w:hint="eastAsia" w:ascii="仿宋" w:hAnsi="仿宋" w:eastAsia="仿宋" w:cs="仿宋"/>
          <w:sz w:val="32"/>
          <w:szCs w:val="32"/>
        </w:rPr>
      </w:pPr>
      <w:r>
        <w:rPr>
          <w:rFonts w:hint="eastAsia" w:ascii="仿宋" w:hAnsi="仿宋" w:eastAsia="仿宋" w:cs="仿宋"/>
          <w:sz w:val="32"/>
          <w:szCs w:val="32"/>
        </w:rPr>
        <w:t>一般公共预算支出表</w:t>
      </w:r>
    </w:p>
    <w:p>
      <w:pPr>
        <w:pStyle w:val="5"/>
        <w:numPr>
          <w:ilvl w:val="0"/>
          <w:numId w:val="3"/>
        </w:numPr>
        <w:ind w:firstLineChars="0"/>
        <w:rPr>
          <w:rFonts w:hint="eastAsia" w:ascii="仿宋" w:hAnsi="仿宋" w:eastAsia="仿宋" w:cs="仿宋"/>
          <w:sz w:val="32"/>
          <w:szCs w:val="32"/>
        </w:rPr>
      </w:pPr>
      <w:r>
        <w:rPr>
          <w:rFonts w:hint="eastAsia" w:ascii="仿宋" w:hAnsi="仿宋" w:eastAsia="仿宋" w:cs="仿宋"/>
          <w:sz w:val="32"/>
          <w:szCs w:val="32"/>
        </w:rPr>
        <w:t>一般公共预算基本支出表</w:t>
      </w:r>
    </w:p>
    <w:p>
      <w:pPr>
        <w:pStyle w:val="5"/>
        <w:numPr>
          <w:ilvl w:val="0"/>
          <w:numId w:val="3"/>
        </w:numPr>
        <w:ind w:firstLineChars="0"/>
        <w:rPr>
          <w:rFonts w:hint="eastAsia" w:ascii="仿宋" w:hAnsi="仿宋" w:eastAsia="仿宋" w:cs="仿宋"/>
          <w:sz w:val="32"/>
          <w:szCs w:val="32"/>
        </w:rPr>
      </w:pPr>
      <w:r>
        <w:rPr>
          <w:rFonts w:hint="eastAsia" w:ascii="仿宋" w:hAnsi="仿宋" w:eastAsia="仿宋" w:cs="仿宋"/>
          <w:sz w:val="32"/>
          <w:szCs w:val="32"/>
        </w:rPr>
        <w:t>一般公共预算“三公”经费支出表</w:t>
      </w:r>
    </w:p>
    <w:p>
      <w:pPr>
        <w:pStyle w:val="5"/>
        <w:numPr>
          <w:ilvl w:val="0"/>
          <w:numId w:val="3"/>
        </w:numPr>
        <w:ind w:firstLineChars="0"/>
        <w:rPr>
          <w:rFonts w:hint="eastAsia" w:ascii="仿宋" w:hAnsi="仿宋" w:eastAsia="仿宋" w:cs="仿宋"/>
          <w:sz w:val="32"/>
          <w:szCs w:val="32"/>
        </w:rPr>
      </w:pPr>
      <w:r>
        <w:rPr>
          <w:rFonts w:hint="eastAsia" w:ascii="仿宋" w:hAnsi="仿宋" w:eastAsia="仿宋" w:cs="仿宋"/>
          <w:sz w:val="32"/>
          <w:szCs w:val="32"/>
        </w:rPr>
        <w:t>政府性基金预算支出表。</w:t>
      </w:r>
    </w:p>
    <w:p>
      <w:pPr>
        <w:pStyle w:val="5"/>
        <w:numPr>
          <w:ilvl w:val="0"/>
          <w:numId w:val="3"/>
        </w:numPr>
        <w:ind w:firstLineChars="0"/>
        <w:rPr>
          <w:rFonts w:hint="eastAsia" w:ascii="仿宋" w:hAnsi="仿宋" w:eastAsia="仿宋" w:cs="仿宋"/>
          <w:sz w:val="32"/>
          <w:szCs w:val="32"/>
        </w:rPr>
      </w:pPr>
      <w:r>
        <w:rPr>
          <w:rFonts w:hint="eastAsia" w:ascii="仿宋" w:hAnsi="仿宋" w:eastAsia="仿宋" w:cs="仿宋"/>
          <w:sz w:val="32"/>
          <w:szCs w:val="32"/>
        </w:rPr>
        <w:t>政府性基金预算“三公”经费支出表</w:t>
      </w:r>
    </w:p>
    <w:p>
      <w:pPr>
        <w:pStyle w:val="5"/>
        <w:numPr>
          <w:ilvl w:val="0"/>
          <w:numId w:val="3"/>
        </w:numPr>
        <w:ind w:firstLineChars="0"/>
        <w:jc w:val="left"/>
        <w:rPr>
          <w:rFonts w:hint="eastAsia" w:ascii="仿宋" w:hAnsi="仿宋" w:eastAsia="仿宋" w:cs="仿宋"/>
          <w:sz w:val="32"/>
          <w:szCs w:val="32"/>
        </w:rPr>
      </w:pPr>
      <w:r>
        <w:rPr>
          <w:rFonts w:hint="eastAsia" w:ascii="仿宋" w:hAnsi="仿宋" w:eastAsia="仿宋" w:cs="仿宋"/>
          <w:color w:val="000000"/>
          <w:sz w:val="32"/>
          <w:szCs w:val="32"/>
        </w:rPr>
        <w:t>三亚市建设工程质量安全监督站</w:t>
      </w:r>
      <w:r>
        <w:rPr>
          <w:rFonts w:hint="eastAsia" w:ascii="仿宋" w:hAnsi="仿宋" w:eastAsia="仿宋" w:cs="仿宋"/>
          <w:sz w:val="32"/>
          <w:szCs w:val="32"/>
        </w:rPr>
        <w:t>收支总表</w:t>
      </w:r>
    </w:p>
    <w:p>
      <w:pPr>
        <w:pStyle w:val="5"/>
        <w:numPr>
          <w:ilvl w:val="0"/>
          <w:numId w:val="3"/>
        </w:numPr>
        <w:ind w:firstLineChars="0"/>
        <w:jc w:val="left"/>
        <w:rPr>
          <w:rFonts w:hint="eastAsia" w:ascii="仿宋" w:hAnsi="仿宋" w:eastAsia="仿宋" w:cs="仿宋"/>
          <w:sz w:val="32"/>
          <w:szCs w:val="32"/>
        </w:rPr>
      </w:pPr>
      <w:r>
        <w:rPr>
          <w:rFonts w:hint="eastAsia" w:ascii="仿宋" w:hAnsi="仿宋" w:eastAsia="仿宋" w:cs="仿宋"/>
          <w:color w:val="000000"/>
          <w:sz w:val="32"/>
          <w:szCs w:val="32"/>
        </w:rPr>
        <w:t>三亚市建设工程质量安全监督站</w:t>
      </w:r>
      <w:r>
        <w:rPr>
          <w:rFonts w:hint="eastAsia" w:ascii="仿宋" w:hAnsi="仿宋" w:eastAsia="仿宋" w:cs="仿宋"/>
          <w:sz w:val="32"/>
          <w:szCs w:val="32"/>
        </w:rPr>
        <w:t>收入总表</w:t>
      </w:r>
    </w:p>
    <w:p>
      <w:pPr>
        <w:pStyle w:val="5"/>
        <w:numPr>
          <w:ilvl w:val="0"/>
          <w:numId w:val="3"/>
        </w:numPr>
        <w:ind w:firstLineChars="0"/>
        <w:jc w:val="left"/>
        <w:rPr>
          <w:rFonts w:hint="eastAsia" w:ascii="仿宋" w:hAnsi="仿宋" w:eastAsia="仿宋" w:cs="仿宋"/>
          <w:sz w:val="32"/>
          <w:szCs w:val="32"/>
        </w:rPr>
      </w:pPr>
      <w:r>
        <w:rPr>
          <w:rFonts w:hint="eastAsia" w:ascii="仿宋" w:hAnsi="仿宋" w:eastAsia="仿宋" w:cs="仿宋"/>
          <w:color w:val="000000"/>
          <w:sz w:val="32"/>
          <w:szCs w:val="32"/>
        </w:rPr>
        <w:t>三亚市建设工程质量安全监督站</w:t>
      </w:r>
      <w:r>
        <w:rPr>
          <w:rFonts w:hint="eastAsia" w:ascii="仿宋" w:hAnsi="仿宋" w:eastAsia="仿宋" w:cs="仿宋"/>
          <w:sz w:val="32"/>
          <w:szCs w:val="32"/>
        </w:rPr>
        <w:t>支出总表</w:t>
      </w:r>
    </w:p>
    <w:p>
      <w:pPr>
        <w:pStyle w:val="5"/>
        <w:numPr>
          <w:ilvl w:val="0"/>
          <w:numId w:val="3"/>
        </w:numPr>
        <w:ind w:firstLineChars="0"/>
        <w:jc w:val="left"/>
        <w:rPr>
          <w:rFonts w:hint="eastAsia" w:ascii="仿宋" w:hAnsi="仿宋" w:eastAsia="仿宋" w:cs="仿宋"/>
          <w:sz w:val="32"/>
          <w:szCs w:val="32"/>
        </w:rPr>
      </w:pPr>
      <w:r>
        <w:rPr>
          <w:rFonts w:hint="eastAsia" w:ascii="仿宋" w:hAnsi="仿宋" w:eastAsia="仿宋" w:cs="仿宋"/>
          <w:sz w:val="32"/>
          <w:szCs w:val="32"/>
        </w:rPr>
        <w:t>项目支出绩效信息表</w:t>
      </w:r>
    </w:p>
    <w:p>
      <w:pPr>
        <w:pStyle w:val="5"/>
        <w:numPr>
          <w:ilvl w:val="0"/>
          <w:numId w:val="1"/>
        </w:numPr>
        <w:ind w:firstLineChars="0"/>
        <w:jc w:val="left"/>
        <w:rPr>
          <w:rFonts w:ascii="??_GB2312" w:hAnsi="??_GB2312" w:eastAsia="Times New Roman" w:cs="??_GB2312"/>
          <w:sz w:val="32"/>
          <w:szCs w:val="32"/>
        </w:rPr>
      </w:pPr>
      <w:r>
        <w:rPr>
          <w:rFonts w:hint="eastAsia" w:ascii="黑体" w:hAnsi="黑体" w:eastAsia="黑体"/>
          <w:sz w:val="32"/>
          <w:szCs w:val="32"/>
        </w:rPr>
        <w:t>三亚市建设工程质量安全监督站</w:t>
      </w:r>
      <w:r>
        <w:rPr>
          <w:rFonts w:ascii="黑体" w:hAnsi="黑体" w:eastAsia="黑体"/>
          <w:sz w:val="32"/>
          <w:szCs w:val="32"/>
        </w:rPr>
        <w:t>2022</w:t>
      </w:r>
      <w:r>
        <w:rPr>
          <w:rFonts w:hint="eastAsia" w:ascii="黑体" w:hAnsi="黑体" w:eastAsia="黑体"/>
          <w:sz w:val="32"/>
          <w:szCs w:val="32"/>
        </w:rPr>
        <w:t>年预算情况说明</w:t>
      </w:r>
    </w:p>
    <w:p>
      <w:pPr>
        <w:pStyle w:val="5"/>
        <w:numPr>
          <w:ilvl w:val="0"/>
          <w:numId w:val="1"/>
        </w:numPr>
        <w:ind w:firstLineChars="0"/>
        <w:jc w:val="left"/>
        <w:rPr>
          <w:rFonts w:ascii="??_GB2312" w:hAnsi="??_GB2312" w:eastAsia="Times New Roman" w:cs="??_GB2312"/>
          <w:sz w:val="32"/>
          <w:szCs w:val="32"/>
        </w:rPr>
      </w:pPr>
      <w:r>
        <w:rPr>
          <w:rFonts w:ascii="黑体" w:hAnsi="黑体" w:eastAsia="黑体"/>
          <w:sz w:val="32"/>
          <w:szCs w:val="32"/>
        </w:rPr>
        <w:t xml:space="preserve">   </w:t>
      </w:r>
      <w:r>
        <w:rPr>
          <w:rFonts w:hint="eastAsia" w:ascii="黑体" w:hAnsi="黑体" w:eastAsia="黑体"/>
          <w:sz w:val="32"/>
          <w:szCs w:val="32"/>
        </w:rPr>
        <w:t>名词解释</w:t>
      </w:r>
    </w:p>
    <w:p>
      <w:pPr>
        <w:pStyle w:val="5"/>
        <w:ind w:left="1320" w:firstLine="0" w:firstLineChars="0"/>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pStyle w:val="5"/>
        <w:numPr>
          <w:ilvl w:val="0"/>
          <w:numId w:val="4"/>
        </w:numPr>
        <w:ind w:firstLineChars="0"/>
        <w:jc w:val="center"/>
        <w:rPr>
          <w:rFonts w:ascii="??_GB2312" w:hAnsi="??_GB2312" w:eastAsia="Times New Roman" w:cs="??_GB2312"/>
          <w:sz w:val="32"/>
          <w:szCs w:val="32"/>
        </w:rPr>
      </w:pPr>
      <w:r>
        <w:rPr>
          <w:rFonts w:hint="eastAsia" w:ascii="黑体" w:hAnsi="黑体" w:eastAsia="黑体"/>
          <w:sz w:val="32"/>
          <w:szCs w:val="32"/>
        </w:rPr>
        <w:t>三亚市建设工程质量安全监督站概况</w:t>
      </w:r>
    </w:p>
    <w:p>
      <w:pPr>
        <w:jc w:val="left"/>
        <w:rPr>
          <w:rFonts w:ascii="??_GB2312" w:hAnsi="??_GB2312" w:eastAsia="Times New Roman" w:cs="??_GB2312"/>
          <w:sz w:val="32"/>
          <w:szCs w:val="32"/>
        </w:rPr>
      </w:pPr>
    </w:p>
    <w:p>
      <w:pPr>
        <w:pStyle w:val="5"/>
        <w:ind w:firstLine="0" w:firstLineChars="0"/>
        <w:rPr>
          <w:rFonts w:ascii="黑体" w:hAnsi="黑体" w:eastAsia="黑体" w:cs="??_GB2312"/>
          <w:sz w:val="32"/>
          <w:szCs w:val="32"/>
        </w:rPr>
      </w:pPr>
      <w:r>
        <w:rPr>
          <w:rFonts w:ascii="黑体" w:hAnsi="黑体" w:eastAsia="黑体" w:cs="??_GB2312"/>
          <w:sz w:val="32"/>
          <w:szCs w:val="32"/>
        </w:rPr>
        <w:t xml:space="preserve"> </w:t>
      </w:r>
      <w:r>
        <w:rPr>
          <w:rFonts w:hint="eastAsia" w:ascii="黑体" w:hAnsi="黑体" w:eastAsia="黑体" w:cs="??_GB2312"/>
          <w:sz w:val="32"/>
          <w:szCs w:val="32"/>
        </w:rPr>
        <w:t>一、主要职能</w:t>
      </w:r>
    </w:p>
    <w:p>
      <w:pPr>
        <w:spacing w:line="560" w:lineRule="exact"/>
        <w:jc w:val="left"/>
        <w:rPr>
          <w:rFonts w:hint="eastAsia" w:ascii="仿宋" w:hAnsi="仿宋" w:eastAsia="仿宋" w:cs="仿宋"/>
          <w:strike w:val="0"/>
          <w:dstrike w:val="0"/>
          <w:color w:val="000000" w:themeColor="text1"/>
          <w:sz w:val="32"/>
          <w:szCs w:val="32"/>
          <w14:textFill>
            <w14:solidFill>
              <w14:schemeClr w14:val="tx1"/>
            </w14:solidFill>
          </w14:textFill>
        </w:rPr>
      </w:pPr>
      <w:r>
        <w:rPr>
          <w:rFonts w:hint="eastAsia" w:ascii="仿宋" w:hAnsi="仿宋" w:eastAsia="仿宋" w:cs="仿宋"/>
          <w:strike w:val="0"/>
          <w:dstrike w:val="0"/>
          <w:color w:val="000000" w:themeColor="text1"/>
          <w:sz w:val="32"/>
          <w:szCs w:val="32"/>
          <w14:textFill>
            <w14:solidFill>
              <w14:schemeClr w14:val="tx1"/>
            </w14:solidFill>
          </w14:textFill>
        </w:rPr>
        <w:t>三亚市建设工程质量安全监督站是三亚市住房和城乡建设局下属的财政全额拨款的副处级事业单位，主要职责是：</w:t>
      </w:r>
    </w:p>
    <w:p>
      <w:pPr>
        <w:spacing w:line="560" w:lineRule="exact"/>
        <w:jc w:val="left"/>
        <w:rPr>
          <w:rFonts w:hint="eastAsia" w:ascii="仿宋" w:hAnsi="仿宋" w:eastAsia="仿宋" w:cs="仿宋"/>
          <w:sz w:val="32"/>
          <w:szCs w:val="32"/>
        </w:rPr>
      </w:pPr>
      <w:r>
        <w:rPr>
          <w:rFonts w:hint="eastAsia" w:ascii="仿宋" w:hAnsi="仿宋" w:eastAsia="仿宋" w:cs="仿宋"/>
          <w:strike w:val="0"/>
          <w:dstrike w:val="0"/>
          <w:color w:val="000000" w:themeColor="text1"/>
          <w:sz w:val="32"/>
          <w:szCs w:val="32"/>
          <w14:textFill>
            <w14:solidFill>
              <w14:schemeClr w14:val="tx1"/>
            </w14:solidFill>
          </w14:textFill>
        </w:rPr>
        <w:t>　　（一）贯彻执行国家及省市有关建设工程质量和安全的</w:t>
      </w:r>
      <w:r>
        <w:rPr>
          <w:rFonts w:hint="eastAsia" w:ascii="仿宋" w:hAnsi="仿宋" w:eastAsia="仿宋" w:cs="仿宋"/>
          <w:sz w:val="32"/>
          <w:szCs w:val="32"/>
        </w:rPr>
        <w:t>法律、法规、政策、工程技术标准，拟定本市建设工程质量安全监督的有关管理规定。</w:t>
      </w:r>
    </w:p>
    <w:p>
      <w:pPr>
        <w:spacing w:line="560" w:lineRule="exact"/>
        <w:jc w:val="left"/>
        <w:rPr>
          <w:rFonts w:hint="eastAsia" w:ascii="仿宋" w:hAnsi="仿宋" w:eastAsia="仿宋" w:cs="仿宋"/>
          <w:sz w:val="32"/>
          <w:szCs w:val="32"/>
        </w:rPr>
      </w:pPr>
      <w:r>
        <w:rPr>
          <w:rFonts w:hint="eastAsia" w:ascii="仿宋" w:hAnsi="仿宋" w:eastAsia="仿宋" w:cs="仿宋"/>
          <w:sz w:val="32"/>
          <w:szCs w:val="32"/>
        </w:rPr>
        <w:t>　　（二）负责本市行政区域内建设工程的质量、安全的监督执法和建设工程参建各单位（包括建设、施工、监理、设计、勘察等单位）以及从事工程质量安全服务的中介机构（包括图审、检测、商品混凝土生产企业）的监督执法工作。</w:t>
      </w:r>
    </w:p>
    <w:p>
      <w:pPr>
        <w:spacing w:line="560" w:lineRule="exact"/>
        <w:jc w:val="left"/>
        <w:rPr>
          <w:rFonts w:hint="eastAsia" w:ascii="仿宋" w:hAnsi="仿宋" w:eastAsia="仿宋" w:cs="仿宋"/>
          <w:sz w:val="32"/>
          <w:szCs w:val="32"/>
        </w:rPr>
      </w:pPr>
      <w:r>
        <w:rPr>
          <w:rFonts w:hint="eastAsia" w:ascii="仿宋" w:hAnsi="仿宋" w:eastAsia="仿宋" w:cs="仿宋"/>
          <w:sz w:val="32"/>
          <w:szCs w:val="32"/>
        </w:rPr>
        <w:t>　　（三）负责对本市建设工程的竣工验收工作实施监督执法及备案资料审查。</w:t>
      </w:r>
    </w:p>
    <w:p>
      <w:pPr>
        <w:spacing w:line="560" w:lineRule="exact"/>
        <w:jc w:val="left"/>
        <w:rPr>
          <w:rFonts w:hint="eastAsia" w:ascii="仿宋" w:hAnsi="仿宋" w:eastAsia="仿宋" w:cs="仿宋"/>
          <w:sz w:val="32"/>
          <w:szCs w:val="32"/>
        </w:rPr>
      </w:pPr>
      <w:r>
        <w:rPr>
          <w:rFonts w:hint="eastAsia" w:ascii="仿宋" w:hAnsi="仿宋" w:eastAsia="仿宋" w:cs="仿宋"/>
          <w:sz w:val="32"/>
          <w:szCs w:val="32"/>
        </w:rPr>
        <w:t>　　（四）负责对违反建设工程质量管理、安全生产有关法律、法规及规定的行为和影响工程质量、安全生产的问题责令整改或局部停工，依法对工程违法违规行为给予不良行为记录并转报有关部门进行处罚。</w:t>
      </w:r>
    </w:p>
    <w:p>
      <w:pPr>
        <w:spacing w:line="560" w:lineRule="exact"/>
        <w:ind w:firstLine="640"/>
        <w:jc w:val="left"/>
        <w:rPr>
          <w:rFonts w:hint="eastAsia" w:ascii="仿宋" w:hAnsi="仿宋" w:eastAsia="仿宋" w:cs="仿宋"/>
          <w:sz w:val="32"/>
          <w:szCs w:val="32"/>
        </w:rPr>
      </w:pPr>
      <w:r>
        <w:rPr>
          <w:rFonts w:hint="eastAsia" w:ascii="仿宋" w:hAnsi="仿宋" w:eastAsia="仿宋" w:cs="仿宋"/>
          <w:sz w:val="32"/>
          <w:szCs w:val="32"/>
        </w:rPr>
        <w:t>（五）负责受理本市建设工程（在建或保修期内）的质量安全投诉并督促处理。</w:t>
      </w:r>
    </w:p>
    <w:p>
      <w:pPr>
        <w:spacing w:line="560" w:lineRule="exact"/>
        <w:ind w:firstLine="640" w:firstLineChars="200"/>
        <w:jc w:val="left"/>
        <w:rPr>
          <w:rFonts w:hint="eastAsia" w:ascii="仿宋" w:hAnsi="仿宋" w:eastAsia="仿宋" w:cs="仿宋"/>
          <w:sz w:val="32"/>
          <w:szCs w:val="32"/>
        </w:rPr>
      </w:pPr>
      <w:r>
        <w:rPr>
          <w:rFonts w:hint="eastAsia" w:ascii="仿宋" w:hAnsi="仿宋" w:eastAsia="仿宋" w:cs="仿宋"/>
          <w:sz w:val="32"/>
          <w:szCs w:val="32"/>
        </w:rPr>
        <w:t>（六）参与本市建设工程重大质量、安全事故的调查与处理。</w:t>
      </w:r>
    </w:p>
    <w:p>
      <w:pPr>
        <w:spacing w:line="560" w:lineRule="exact"/>
        <w:ind w:firstLine="640" w:firstLineChars="200"/>
        <w:jc w:val="left"/>
        <w:rPr>
          <w:rFonts w:hint="eastAsia" w:ascii="仿宋" w:hAnsi="仿宋" w:eastAsia="仿宋" w:cs="仿宋"/>
          <w:sz w:val="32"/>
          <w:szCs w:val="32"/>
        </w:rPr>
      </w:pPr>
      <w:r>
        <w:rPr>
          <w:rFonts w:hint="eastAsia" w:ascii="仿宋" w:hAnsi="仿宋" w:eastAsia="仿宋" w:cs="仿宋"/>
          <w:sz w:val="32"/>
          <w:szCs w:val="32"/>
        </w:rPr>
        <w:t>（七）负责组织或参与本市建设工程质量、安全检查，并总结、交流和推广工程质量、安全生产管理经验。</w:t>
      </w:r>
    </w:p>
    <w:p>
      <w:pPr>
        <w:spacing w:line="560" w:lineRule="exact"/>
        <w:jc w:val="left"/>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二、机构设置</w:t>
      </w:r>
    </w:p>
    <w:p>
      <w:pPr>
        <w:spacing w:beforeLines="0" w:afterLines="0"/>
        <w:ind w:firstLine="640" w:firstLineChars="200"/>
        <w:jc w:val="left"/>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三亚市建设工程质量安全监督站内设</w:t>
      </w:r>
      <w:r>
        <w:rPr>
          <w:rFonts w:hint="eastAsia" w:ascii="仿宋" w:hAnsi="仿宋" w:eastAsia="仿宋" w:cs="仿宋"/>
          <w:sz w:val="32"/>
          <w:szCs w:val="32"/>
          <w:lang w:val="zh-CN" w:eastAsia="zh-CN"/>
        </w:rPr>
        <w:t>办公室、总工办、综合科、技术法规科、监督一科、监督二科、监督三科、检</w:t>
      </w:r>
      <w:bookmarkStart w:id="0" w:name="_GoBack"/>
      <w:bookmarkEnd w:id="0"/>
      <w:r>
        <w:rPr>
          <w:rFonts w:hint="eastAsia" w:ascii="仿宋" w:hAnsi="仿宋" w:eastAsia="仿宋" w:cs="仿宋"/>
          <w:sz w:val="32"/>
          <w:szCs w:val="32"/>
          <w:lang w:val="zh-CN" w:eastAsia="zh-CN"/>
        </w:rPr>
        <w:t>测科</w:t>
      </w:r>
      <w:r>
        <w:rPr>
          <w:rFonts w:hint="eastAsia" w:ascii="仿宋" w:hAnsi="仿宋" w:eastAsia="仿宋" w:cs="仿宋"/>
          <w:sz w:val="32"/>
          <w:szCs w:val="32"/>
          <w:lang w:val="en-US" w:eastAsia="zh-CN"/>
        </w:rPr>
        <w:t>8个科室。</w:t>
      </w:r>
    </w:p>
    <w:p>
      <w:pPr>
        <w:spacing w:line="560" w:lineRule="exact"/>
        <w:jc w:val="left"/>
        <w:rPr>
          <w:rFonts w:hint="eastAsia" w:ascii="黑体" w:hAnsi="黑体" w:eastAsia="黑体" w:cs="黑体"/>
          <w:sz w:val="32"/>
          <w:szCs w:val="32"/>
          <w:lang w:val="en-US" w:eastAsia="zh-CN"/>
        </w:rPr>
      </w:pPr>
    </w:p>
    <w:p>
      <w:pPr>
        <w:ind w:firstLine="640" w:firstLineChars="200"/>
        <w:rPr>
          <w:rFonts w:ascii="黑体" w:hAnsi="黑体" w:eastAsia="黑体"/>
          <w:sz w:val="32"/>
          <w:szCs w:val="32"/>
        </w:rPr>
      </w:pPr>
      <w:r>
        <w:rPr>
          <w:rFonts w:hint="eastAsia" w:ascii="黑体" w:hAnsi="黑体" w:eastAsia="黑体"/>
          <w:sz w:val="32"/>
          <w:szCs w:val="32"/>
        </w:rPr>
        <w:t>第二部分</w:t>
      </w:r>
      <w:r>
        <w:rPr>
          <w:rFonts w:ascii="黑体" w:hAnsi="黑体" w:eastAsia="黑体"/>
          <w:sz w:val="32"/>
          <w:szCs w:val="32"/>
        </w:rPr>
        <w:t xml:space="preserve"> </w:t>
      </w:r>
      <w:r>
        <w:rPr>
          <w:rFonts w:hint="eastAsia" w:ascii="黑体" w:hAnsi="黑体" w:eastAsia="黑体"/>
          <w:sz w:val="32"/>
          <w:szCs w:val="32"/>
        </w:rPr>
        <w:t>三亚市建设工程质量安全监督站</w:t>
      </w:r>
      <w:r>
        <w:rPr>
          <w:rFonts w:ascii="??_GB2312" w:hAnsi="黑体" w:eastAsia="Times New Roman" w:cs="??_GB2312"/>
          <w:sz w:val="32"/>
          <w:szCs w:val="32"/>
        </w:rPr>
        <w:t>2022</w:t>
      </w:r>
      <w:r>
        <w:rPr>
          <w:rFonts w:hint="eastAsia" w:ascii="黑体" w:hAnsi="黑体" w:eastAsia="黑体"/>
          <w:sz w:val="32"/>
          <w:szCs w:val="32"/>
        </w:rPr>
        <w:t>年预算表</w:t>
      </w:r>
    </w:p>
    <w:p>
      <w:pPr>
        <w:rPr>
          <w:rFonts w:ascii="黑体" w:hAnsi="黑体" w:eastAsia="黑体"/>
          <w:sz w:val="32"/>
          <w:szCs w:val="32"/>
        </w:rPr>
      </w:pPr>
      <w:r>
        <w:rPr>
          <w:rFonts w:ascii="仿宋" w:hAnsi="仿宋" w:eastAsia="仿宋" w:cs="仿宋"/>
          <w:sz w:val="32"/>
          <w:szCs w:val="32"/>
        </w:rPr>
        <w:t xml:space="preserve">    </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详细见</w:t>
      </w:r>
      <w:r>
        <w:rPr>
          <w:rFonts w:ascii="仿宋" w:hAnsi="仿宋" w:eastAsia="仿宋" w:cs="仿宋"/>
          <w:sz w:val="32"/>
          <w:szCs w:val="32"/>
        </w:rPr>
        <w:t xml:space="preserve"> </w:t>
      </w:r>
      <w:r>
        <w:rPr>
          <w:rFonts w:hint="eastAsia" w:ascii="仿宋" w:hAnsi="仿宋" w:eastAsia="仿宋" w:cs="仿宋"/>
          <w:sz w:val="32"/>
          <w:szCs w:val="32"/>
        </w:rPr>
        <w:t>预算公开表</w:t>
      </w:r>
    </w:p>
    <w:p>
      <w:pPr>
        <w:ind w:firstLine="480" w:firstLineChars="150"/>
        <w:rPr>
          <w:rFonts w:ascii="黑体" w:hAnsi="黑体" w:eastAsia="黑体"/>
          <w:sz w:val="32"/>
          <w:szCs w:val="32"/>
        </w:rPr>
      </w:pPr>
      <w:r>
        <w:rPr>
          <w:rFonts w:hint="eastAsia" w:ascii="黑体" w:hAnsi="黑体" w:eastAsia="黑体"/>
          <w:sz w:val="32"/>
          <w:szCs w:val="32"/>
        </w:rPr>
        <w:t>第三部分</w:t>
      </w:r>
      <w:r>
        <w:rPr>
          <w:rFonts w:ascii="黑体" w:hAnsi="黑体" w:eastAsia="黑体"/>
          <w:sz w:val="32"/>
          <w:szCs w:val="32"/>
        </w:rPr>
        <w:t xml:space="preserve">   </w:t>
      </w:r>
      <w:r>
        <w:rPr>
          <w:rFonts w:hint="eastAsia" w:ascii="黑体" w:hAnsi="黑体" w:eastAsia="黑体"/>
          <w:sz w:val="32"/>
          <w:szCs w:val="32"/>
        </w:rPr>
        <w:t>三亚市建设工程质量安全监督站</w:t>
      </w:r>
      <w:r>
        <w:rPr>
          <w:rFonts w:ascii="??_GB2312" w:hAnsi="黑体" w:eastAsia="Times New Roman" w:cs="??_GB2312"/>
          <w:sz w:val="32"/>
          <w:szCs w:val="32"/>
        </w:rPr>
        <w:t>2022</w:t>
      </w:r>
      <w:r>
        <w:rPr>
          <w:rFonts w:hint="eastAsia" w:ascii="黑体" w:hAnsi="黑体" w:eastAsia="黑体"/>
          <w:sz w:val="32"/>
          <w:szCs w:val="32"/>
        </w:rPr>
        <w:t>年预算情况说明</w:t>
      </w:r>
    </w:p>
    <w:p>
      <w:pPr>
        <w:jc w:val="center"/>
        <w:rPr>
          <w:rFonts w:ascii="黑体" w:hAnsi="黑体" w:eastAsia="黑体"/>
          <w:sz w:val="32"/>
          <w:szCs w:val="32"/>
        </w:rPr>
      </w:pPr>
    </w:p>
    <w:p>
      <w:pPr>
        <w:ind w:firstLine="640" w:firstLineChars="200"/>
        <w:jc w:val="left"/>
        <w:rPr>
          <w:rFonts w:ascii="黑体" w:hAnsi="黑体" w:eastAsia="黑体"/>
          <w:sz w:val="32"/>
          <w:szCs w:val="32"/>
        </w:rPr>
      </w:pPr>
      <w:r>
        <w:rPr>
          <w:rFonts w:hint="eastAsia" w:ascii="黑体" w:hAnsi="黑体" w:eastAsia="黑体"/>
          <w:sz w:val="32"/>
          <w:szCs w:val="32"/>
        </w:rPr>
        <w:t>一、关于财政拨款收支预算情况的总体说明</w:t>
      </w:r>
    </w:p>
    <w:p>
      <w:pPr>
        <w:ind w:firstLine="640" w:firstLineChars="200"/>
        <w:jc w:val="left"/>
        <w:rPr>
          <w:rFonts w:hint="eastAsia" w:ascii="仿宋" w:hAnsi="仿宋" w:eastAsia="仿宋" w:cs="仿宋"/>
          <w:sz w:val="32"/>
          <w:szCs w:val="32"/>
        </w:rPr>
      </w:pPr>
      <w:r>
        <w:rPr>
          <w:rFonts w:hint="eastAsia" w:ascii="仿宋" w:hAnsi="仿宋" w:eastAsia="仿宋" w:cs="仿宋"/>
          <w:sz w:val="32"/>
          <w:szCs w:val="32"/>
        </w:rPr>
        <w:t>三亚市建设工程质量安全监督站2022年财政拨款收支总预算1139.70万元。其中，收入总计1139.70万元，包括一般公共预算本年收入1139.70万元、上年结转0万元，政府性基金预算本年收入0万元、上年结转0万元；支出总计1139.70万元，包括社会保障和就业支出77.19万元、卫生健康支出101.13万元、城乡社区支出904.18万元、住房保障支出57.2万元，结转下年0万元。</w:t>
      </w:r>
    </w:p>
    <w:p>
      <w:pPr>
        <w:ind w:firstLine="640"/>
        <w:jc w:val="left"/>
        <w:rPr>
          <w:rFonts w:ascii="黑体" w:hAnsi="黑体" w:eastAsia="黑体"/>
          <w:sz w:val="32"/>
          <w:szCs w:val="32"/>
        </w:rPr>
      </w:pPr>
      <w:r>
        <w:rPr>
          <w:rFonts w:hint="eastAsia" w:ascii="黑体" w:hAnsi="黑体" w:eastAsia="黑体"/>
          <w:sz w:val="32"/>
          <w:szCs w:val="32"/>
        </w:rPr>
        <w:t>二、关于一般公共预算当年拨款情况说明</w:t>
      </w:r>
    </w:p>
    <w:p>
      <w:pPr>
        <w:ind w:firstLine="640"/>
        <w:jc w:val="left"/>
        <w:rPr>
          <w:rFonts w:hint="eastAsia" w:ascii="仿宋" w:hAnsi="仿宋" w:eastAsia="仿宋" w:cs="仿宋"/>
          <w:sz w:val="32"/>
          <w:szCs w:val="32"/>
        </w:rPr>
      </w:pPr>
      <w:r>
        <w:rPr>
          <w:rFonts w:hint="eastAsia" w:ascii="仿宋" w:hAnsi="仿宋" w:eastAsia="仿宋" w:cs="仿宋"/>
          <w:sz w:val="32"/>
          <w:szCs w:val="32"/>
        </w:rPr>
        <w:t>（一）一般公共预算当年规模变化情况</w:t>
      </w:r>
    </w:p>
    <w:p>
      <w:pPr>
        <w:ind w:firstLine="640" w:firstLineChars="200"/>
        <w:rPr>
          <w:rFonts w:hint="eastAsia" w:ascii="仿宋" w:hAnsi="仿宋" w:eastAsia="仿宋" w:cs="仿宋"/>
          <w:color w:val="FF0000"/>
          <w:sz w:val="32"/>
          <w:szCs w:val="32"/>
        </w:rPr>
      </w:pPr>
      <w:r>
        <w:rPr>
          <w:rFonts w:hint="eastAsia" w:ascii="仿宋" w:hAnsi="仿宋" w:eastAsia="仿宋" w:cs="仿宋"/>
          <w:color w:val="000000"/>
          <w:sz w:val="32"/>
          <w:szCs w:val="32"/>
        </w:rPr>
        <w:t>三亚市建设工程质量安全监督站2022年一般公共预算当年拨款1139.70万元，比上年预算数减少4.13万元，</w:t>
      </w:r>
      <w:r>
        <w:rPr>
          <w:rFonts w:hint="eastAsia" w:ascii="仿宋" w:hAnsi="仿宋" w:eastAsia="仿宋" w:cs="仿宋"/>
          <w:sz w:val="32"/>
          <w:szCs w:val="32"/>
        </w:rPr>
        <w:t>主要是预算调整。</w:t>
      </w:r>
    </w:p>
    <w:p>
      <w:pPr>
        <w:ind w:firstLine="640"/>
        <w:jc w:val="left"/>
        <w:rPr>
          <w:rFonts w:hint="eastAsia" w:ascii="仿宋" w:hAnsi="仿宋" w:eastAsia="仿宋" w:cs="仿宋"/>
          <w:sz w:val="32"/>
          <w:szCs w:val="32"/>
        </w:rPr>
      </w:pPr>
      <w:r>
        <w:rPr>
          <w:rFonts w:hint="eastAsia" w:ascii="仿宋" w:hAnsi="仿宋" w:eastAsia="仿宋" w:cs="仿宋"/>
          <w:sz w:val="32"/>
          <w:szCs w:val="32"/>
        </w:rPr>
        <w:t>（二）一般公共预算当年拨款结构情况</w:t>
      </w:r>
    </w:p>
    <w:p>
      <w:pPr>
        <w:ind w:firstLine="800" w:firstLineChars="250"/>
        <w:rPr>
          <w:rFonts w:hint="eastAsia" w:ascii="仿宋" w:hAnsi="仿宋" w:eastAsia="仿宋" w:cs="仿宋"/>
          <w:sz w:val="32"/>
          <w:szCs w:val="32"/>
        </w:rPr>
      </w:pPr>
      <w:r>
        <w:rPr>
          <w:rFonts w:hint="eastAsia" w:ascii="仿宋" w:hAnsi="仿宋" w:eastAsia="仿宋" w:cs="仿宋"/>
          <w:sz w:val="32"/>
          <w:szCs w:val="32"/>
        </w:rPr>
        <w:t>社会保障和就业支出（类）支出77.19万元，占6.77%；卫生健康支出（类）支出101.13万元，占8.87%；城乡社区支出（类）支出904.18万元，占79.34%；住房保障支出（类）支出57.20万元，占5.02%。</w:t>
      </w:r>
    </w:p>
    <w:p>
      <w:pPr>
        <w:ind w:firstLine="640"/>
        <w:jc w:val="left"/>
        <w:rPr>
          <w:rFonts w:hint="eastAsia" w:ascii="仿宋" w:hAnsi="仿宋" w:eastAsia="仿宋" w:cs="仿宋"/>
          <w:sz w:val="32"/>
          <w:szCs w:val="32"/>
        </w:rPr>
      </w:pPr>
      <w:r>
        <w:rPr>
          <w:rFonts w:hint="eastAsia" w:ascii="仿宋" w:hAnsi="仿宋" w:eastAsia="仿宋" w:cs="仿宋"/>
          <w:sz w:val="32"/>
          <w:szCs w:val="32"/>
        </w:rPr>
        <w:t>（三）一般公共预算当年拨款具体使用情况</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1.社会保障和就业支出（类）行政事业单位养老支出（款）机关事业单位基本养老保险缴费支出（项）2022年预算数为73.35万元，</w:t>
      </w:r>
      <w:r>
        <w:rPr>
          <w:rFonts w:hint="eastAsia" w:ascii="仿宋" w:hAnsi="仿宋" w:eastAsia="仿宋" w:cs="仿宋"/>
          <w:color w:val="000000"/>
          <w:sz w:val="32"/>
          <w:szCs w:val="32"/>
        </w:rPr>
        <w:t>比上年预算数增加13.78万元，</w:t>
      </w:r>
      <w:r>
        <w:rPr>
          <w:rFonts w:hint="eastAsia" w:ascii="仿宋" w:hAnsi="仿宋" w:eastAsia="仿宋" w:cs="仿宋"/>
          <w:sz w:val="32"/>
          <w:szCs w:val="32"/>
        </w:rPr>
        <w:t>主要因人员缴纳基数上调，预算也随之增加。</w:t>
      </w:r>
    </w:p>
    <w:p>
      <w:pPr>
        <w:ind w:firstLine="640" w:firstLineChars="200"/>
        <w:rPr>
          <w:rFonts w:hint="eastAsia" w:ascii="仿宋" w:hAnsi="仿宋" w:eastAsia="仿宋" w:cs="仿宋"/>
          <w:color w:val="FF0000"/>
          <w:sz w:val="32"/>
          <w:szCs w:val="32"/>
        </w:rPr>
      </w:pPr>
      <w:r>
        <w:rPr>
          <w:rFonts w:hint="eastAsia" w:ascii="仿宋" w:hAnsi="仿宋" w:eastAsia="仿宋" w:cs="仿宋"/>
          <w:sz w:val="32"/>
          <w:szCs w:val="32"/>
        </w:rPr>
        <w:t>2.社会保障和就业支出（类）抚恤（款）其他优抚支出（项）2022年预算数为3.84万元，</w:t>
      </w:r>
      <w:r>
        <w:rPr>
          <w:rFonts w:hint="eastAsia" w:ascii="仿宋" w:hAnsi="仿宋" w:eastAsia="仿宋" w:cs="仿宋"/>
          <w:color w:val="000000"/>
          <w:sz w:val="32"/>
          <w:szCs w:val="32"/>
        </w:rPr>
        <w:t>与上年预算数持平，</w:t>
      </w:r>
      <w:r>
        <w:rPr>
          <w:rFonts w:hint="eastAsia" w:ascii="仿宋" w:hAnsi="仿宋" w:eastAsia="仿宋" w:cs="仿宋"/>
          <w:sz w:val="32"/>
          <w:szCs w:val="32"/>
        </w:rPr>
        <w:t>主要是预算调整。</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3. 卫生健康支出（类）行政事业单位医疗（款）事业单位医疗（项）2022年预算数为38.97万元，</w:t>
      </w:r>
      <w:r>
        <w:rPr>
          <w:rFonts w:hint="eastAsia" w:ascii="仿宋" w:hAnsi="仿宋" w:eastAsia="仿宋" w:cs="仿宋"/>
          <w:color w:val="000000"/>
          <w:sz w:val="32"/>
          <w:szCs w:val="32"/>
        </w:rPr>
        <w:t>比上年预算数增加7.32万元，</w:t>
      </w:r>
      <w:r>
        <w:rPr>
          <w:rFonts w:hint="eastAsia" w:ascii="仿宋" w:hAnsi="仿宋" w:eastAsia="仿宋" w:cs="仿宋"/>
          <w:sz w:val="32"/>
          <w:szCs w:val="32"/>
        </w:rPr>
        <w:t>主要因人员缴纳基数上调，预算也随之增加。</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4.卫生健康支出（类）行政事业单位医疗（款）公务员医疗补助项）2022年预算数为62.16万元，</w:t>
      </w:r>
      <w:r>
        <w:rPr>
          <w:rFonts w:hint="eastAsia" w:ascii="仿宋" w:hAnsi="仿宋" w:eastAsia="仿宋" w:cs="仿宋"/>
          <w:color w:val="000000"/>
          <w:sz w:val="32"/>
          <w:szCs w:val="32"/>
        </w:rPr>
        <w:t>比上年预算数增加10.24万元，</w:t>
      </w:r>
      <w:r>
        <w:rPr>
          <w:rFonts w:hint="eastAsia" w:ascii="仿宋" w:hAnsi="仿宋" w:eastAsia="仿宋" w:cs="仿宋"/>
          <w:sz w:val="32"/>
          <w:szCs w:val="32"/>
        </w:rPr>
        <w:t>主要因人员缴纳基数上调，预算也随之增加。</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5.城乡社区支出（类）城乡社区管理事务（款）工程建设管理（项）2022年预算数为714.18万元，比上年预算数增加10万元，主要因人员缴纳基数上调，预算也随之增加。</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6</w:t>
      </w:r>
      <w:r>
        <w:rPr>
          <w:rFonts w:hint="eastAsia" w:ascii="仿宋" w:hAnsi="仿宋" w:eastAsia="仿宋" w:cs="仿宋"/>
          <w:sz w:val="32"/>
          <w:szCs w:val="32"/>
          <w:lang w:val="en-US" w:eastAsia="zh-CN"/>
        </w:rPr>
        <w:t>.</w:t>
      </w:r>
      <w:r>
        <w:rPr>
          <w:rFonts w:hint="eastAsia" w:ascii="仿宋" w:hAnsi="仿宋" w:eastAsia="仿宋" w:cs="仿宋"/>
          <w:sz w:val="32"/>
          <w:szCs w:val="32"/>
        </w:rPr>
        <w:t>城乡社区支出（类）建设市场管理与监督（款）建设市场管理与监督（项）2022年预算数为190万元，</w:t>
      </w:r>
      <w:r>
        <w:rPr>
          <w:rFonts w:hint="eastAsia" w:ascii="仿宋" w:hAnsi="仿宋" w:eastAsia="仿宋" w:cs="仿宋"/>
          <w:color w:val="000000"/>
          <w:sz w:val="32"/>
          <w:szCs w:val="32"/>
        </w:rPr>
        <w:t>比上年预算数增加15万元，</w:t>
      </w:r>
      <w:r>
        <w:rPr>
          <w:rFonts w:hint="eastAsia" w:ascii="仿宋" w:hAnsi="仿宋" w:eastAsia="仿宋" w:cs="仿宋"/>
          <w:sz w:val="32"/>
          <w:szCs w:val="32"/>
        </w:rPr>
        <w:t>主要因人员缴纳基数上调，预算也随之增加。</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7.住房保障支出（类）住房改革支出（款）住房公积金2022年预算数为57.20万元，比上年预算数增加10.50万元，主要因人员缴纳基数上调，预算也随之增加。</w:t>
      </w:r>
    </w:p>
    <w:p>
      <w:pPr>
        <w:ind w:firstLine="640"/>
        <w:rPr>
          <w:rFonts w:ascii="黑体" w:hAnsi="黑体" w:eastAsia="黑体"/>
          <w:sz w:val="32"/>
          <w:szCs w:val="32"/>
        </w:rPr>
      </w:pPr>
      <w:r>
        <w:rPr>
          <w:rFonts w:hint="eastAsia" w:ascii="黑体" w:hAnsi="黑体" w:eastAsia="黑体"/>
          <w:sz w:val="32"/>
          <w:szCs w:val="32"/>
        </w:rPr>
        <w:t>三、关于三亚市建设工程质量安全监督站</w:t>
      </w:r>
      <w:r>
        <w:rPr>
          <w:rFonts w:ascii="??_GB2312" w:hAnsi="黑体" w:eastAsia="Times New Roman" w:cs="??_GB2312"/>
          <w:sz w:val="32"/>
          <w:szCs w:val="32"/>
        </w:rPr>
        <w:t>2022</w:t>
      </w:r>
      <w:r>
        <w:rPr>
          <w:rFonts w:hint="eastAsia" w:ascii="黑体" w:hAnsi="黑体" w:eastAsia="黑体"/>
          <w:sz w:val="32"/>
          <w:szCs w:val="32"/>
        </w:rPr>
        <w:t>年一般公共预算基本支出情况说明</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三亚市建设工程质量安全监督站2022年一般公共预算基本支出为949.70万元，其中：</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人员经费881.62万元，主要包括：基本工资、津贴补贴、奖金、社会保障缴费、住房公积金等;</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公用经费68.08万元，主要包括：办公费、会议费、培训费、工会经费、福利费、公务用车运行维护费、其他商品和服务支出。</w:t>
      </w:r>
    </w:p>
    <w:p>
      <w:pPr>
        <w:ind w:firstLine="640" w:firstLineChars="200"/>
        <w:rPr>
          <w:rFonts w:hint="eastAsia" w:ascii="仿宋" w:hAnsi="仿宋" w:eastAsia="仿宋" w:cs="仿宋"/>
          <w:sz w:val="32"/>
          <w:shd w:val="clear" w:color="auto" w:fill="FFFFFF"/>
        </w:rPr>
      </w:pPr>
      <w:r>
        <w:rPr>
          <w:rFonts w:hint="eastAsia" w:ascii="仿宋" w:hAnsi="仿宋" w:eastAsia="仿宋" w:cs="仿宋"/>
          <w:sz w:val="32"/>
          <w:shd w:val="clear" w:color="auto" w:fill="FFFFFF"/>
        </w:rPr>
        <w:t>四、</w:t>
      </w:r>
      <w:r>
        <w:rPr>
          <w:rFonts w:hint="eastAsia" w:ascii="仿宋" w:hAnsi="仿宋" w:eastAsia="仿宋" w:cs="仿宋"/>
          <w:sz w:val="32"/>
          <w:szCs w:val="32"/>
        </w:rPr>
        <w:t>三亚市建设工程质量安全监督站2022</w:t>
      </w:r>
      <w:r>
        <w:rPr>
          <w:rFonts w:hint="eastAsia" w:ascii="仿宋" w:hAnsi="仿宋" w:eastAsia="仿宋" w:cs="仿宋"/>
          <w:sz w:val="32"/>
          <w:shd w:val="clear" w:color="auto" w:fill="FFFFFF"/>
        </w:rPr>
        <w:t>年“三公”经费预算情况说明</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（一）三亚市建设工程质量安全监督站2022年一般公共预算“三公”经费预算数为3.30万元，其中：</w:t>
      </w:r>
    </w:p>
    <w:p>
      <w:pPr>
        <w:ind w:firstLine="630"/>
        <w:rPr>
          <w:rFonts w:hint="eastAsia" w:ascii="仿宋" w:hAnsi="仿宋" w:eastAsia="仿宋" w:cs="仿宋"/>
          <w:sz w:val="32"/>
          <w:shd w:val="clear" w:color="auto" w:fill="FFFFFF"/>
        </w:rPr>
      </w:pPr>
      <w:r>
        <w:rPr>
          <w:rFonts w:hint="eastAsia" w:ascii="仿宋" w:hAnsi="仿宋" w:eastAsia="仿宋" w:cs="仿宋"/>
          <w:sz w:val="32"/>
          <w:shd w:val="clear" w:color="auto" w:fill="FFFFFF"/>
        </w:rPr>
        <w:t>因公出国（境）经费</w:t>
      </w:r>
      <w:r>
        <w:rPr>
          <w:rFonts w:hint="eastAsia" w:ascii="仿宋" w:hAnsi="仿宋" w:eastAsia="仿宋" w:cs="仿宋"/>
          <w:sz w:val="32"/>
          <w:szCs w:val="32"/>
        </w:rPr>
        <w:t>0万元</w:t>
      </w:r>
      <w:r>
        <w:rPr>
          <w:rFonts w:hint="eastAsia" w:ascii="仿宋" w:hAnsi="仿宋" w:eastAsia="仿宋" w:cs="仿宋"/>
          <w:sz w:val="32"/>
          <w:shd w:val="clear" w:color="auto" w:fill="FFFFFF"/>
        </w:rPr>
        <w:t>，与上年预算持平。公务用车购置及运行费</w:t>
      </w:r>
      <w:r>
        <w:rPr>
          <w:rFonts w:hint="eastAsia" w:ascii="仿宋" w:hAnsi="仿宋" w:eastAsia="仿宋" w:cs="仿宋"/>
          <w:sz w:val="32"/>
          <w:szCs w:val="32"/>
        </w:rPr>
        <w:t>0万元（其中，</w:t>
      </w:r>
      <w:r>
        <w:rPr>
          <w:rFonts w:hint="eastAsia" w:ascii="仿宋" w:hAnsi="仿宋" w:eastAsia="仿宋" w:cs="仿宋"/>
          <w:sz w:val="32"/>
          <w:shd w:val="clear" w:color="auto" w:fill="FFFFFF"/>
        </w:rPr>
        <w:t>公务用车购置费</w:t>
      </w:r>
      <w:r>
        <w:rPr>
          <w:rFonts w:hint="eastAsia" w:ascii="仿宋" w:hAnsi="仿宋" w:eastAsia="仿宋" w:cs="仿宋"/>
          <w:sz w:val="32"/>
          <w:szCs w:val="32"/>
        </w:rPr>
        <w:t>0万元</w:t>
      </w:r>
      <w:r>
        <w:rPr>
          <w:rFonts w:hint="eastAsia" w:ascii="仿宋" w:hAnsi="仿宋" w:eastAsia="仿宋" w:cs="仿宋"/>
          <w:sz w:val="32"/>
          <w:shd w:val="clear" w:color="auto" w:fill="FFFFFF"/>
        </w:rPr>
        <w:t>，公务用车运行费</w:t>
      </w:r>
      <w:r>
        <w:rPr>
          <w:rFonts w:hint="eastAsia" w:ascii="仿宋" w:hAnsi="仿宋" w:eastAsia="仿宋" w:cs="仿宋"/>
          <w:sz w:val="32"/>
          <w:szCs w:val="32"/>
        </w:rPr>
        <w:t>3.30万元）</w:t>
      </w:r>
      <w:r>
        <w:rPr>
          <w:rFonts w:hint="eastAsia" w:ascii="仿宋" w:hAnsi="仿宋" w:eastAsia="仿宋" w:cs="仿宋"/>
          <w:sz w:val="32"/>
          <w:shd w:val="clear" w:color="auto" w:fill="FFFFFF"/>
        </w:rPr>
        <w:t>，与上年预算持平。公务车保有量</w:t>
      </w:r>
      <w:r>
        <w:rPr>
          <w:rFonts w:hint="eastAsia" w:ascii="仿宋" w:hAnsi="仿宋" w:eastAsia="仿宋" w:cs="仿宋"/>
          <w:sz w:val="32"/>
          <w:szCs w:val="32"/>
        </w:rPr>
        <w:t>2辆，计划购置0辆</w:t>
      </w:r>
      <w:r>
        <w:rPr>
          <w:rFonts w:hint="eastAsia" w:ascii="仿宋" w:hAnsi="仿宋" w:eastAsia="仿宋" w:cs="仿宋"/>
          <w:sz w:val="32"/>
          <w:shd w:val="clear" w:color="auto" w:fill="FFFFFF"/>
        </w:rPr>
        <w:t>；</w:t>
      </w:r>
      <w:r>
        <w:rPr>
          <w:rFonts w:hint="eastAsia" w:ascii="仿宋" w:hAnsi="仿宋" w:eastAsia="仿宋" w:cs="仿宋"/>
          <w:sz w:val="32"/>
          <w:szCs w:val="32"/>
        </w:rPr>
        <w:t>公务接待费0</w:t>
      </w:r>
      <w:r>
        <w:rPr>
          <w:rFonts w:hint="eastAsia" w:ascii="仿宋" w:hAnsi="仿宋" w:eastAsia="仿宋" w:cs="仿宋"/>
          <w:sz w:val="32"/>
          <w:shd w:val="clear" w:color="auto" w:fill="FFFFFF"/>
        </w:rPr>
        <w:t>万元，与上年预算持平。</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（二）三亚市建设工程质量安全监督站2022年政府性基金预算“三公”经费预算数为0万元，其中：</w:t>
      </w:r>
    </w:p>
    <w:p>
      <w:pPr>
        <w:rPr>
          <w:rFonts w:hint="eastAsia" w:ascii="仿宋" w:hAnsi="仿宋" w:eastAsia="仿宋" w:cs="仿宋"/>
          <w:sz w:val="32"/>
          <w:shd w:val="clear" w:color="auto" w:fill="FFFFFF"/>
        </w:rPr>
      </w:pPr>
      <w:r>
        <w:rPr>
          <w:rFonts w:hint="eastAsia" w:ascii="仿宋" w:hAnsi="仿宋" w:eastAsia="仿宋" w:cs="仿宋"/>
          <w:sz w:val="32"/>
          <w:shd w:val="clear" w:color="auto" w:fill="FFFFFF"/>
        </w:rPr>
        <w:t xml:space="preserve">    因公出国（境）经费</w:t>
      </w:r>
      <w:r>
        <w:rPr>
          <w:rFonts w:hint="eastAsia" w:ascii="仿宋" w:hAnsi="仿宋" w:eastAsia="仿宋" w:cs="仿宋"/>
          <w:sz w:val="32"/>
          <w:szCs w:val="32"/>
        </w:rPr>
        <w:t>0万元</w:t>
      </w:r>
      <w:r>
        <w:rPr>
          <w:rFonts w:hint="eastAsia" w:ascii="仿宋" w:hAnsi="仿宋" w:eastAsia="仿宋" w:cs="仿宋"/>
          <w:sz w:val="32"/>
          <w:shd w:val="clear" w:color="auto" w:fill="FFFFFF"/>
        </w:rPr>
        <w:t>，与上年预算持平。公务用车购置及运行费</w:t>
      </w:r>
      <w:r>
        <w:rPr>
          <w:rFonts w:hint="eastAsia" w:ascii="仿宋" w:hAnsi="仿宋" w:eastAsia="仿宋" w:cs="仿宋"/>
          <w:sz w:val="32"/>
          <w:szCs w:val="32"/>
        </w:rPr>
        <w:t>0万元（其中，</w:t>
      </w:r>
      <w:r>
        <w:rPr>
          <w:rFonts w:hint="eastAsia" w:ascii="仿宋" w:hAnsi="仿宋" w:eastAsia="仿宋" w:cs="仿宋"/>
          <w:sz w:val="32"/>
          <w:shd w:val="clear" w:color="auto" w:fill="FFFFFF"/>
        </w:rPr>
        <w:t>公务用车购置费</w:t>
      </w:r>
      <w:r>
        <w:rPr>
          <w:rFonts w:hint="eastAsia" w:ascii="仿宋" w:hAnsi="仿宋" w:eastAsia="仿宋" w:cs="仿宋"/>
          <w:sz w:val="32"/>
          <w:szCs w:val="32"/>
        </w:rPr>
        <w:t>0万元</w:t>
      </w:r>
      <w:r>
        <w:rPr>
          <w:rFonts w:hint="eastAsia" w:ascii="仿宋" w:hAnsi="仿宋" w:eastAsia="仿宋" w:cs="仿宋"/>
          <w:sz w:val="32"/>
          <w:shd w:val="clear" w:color="auto" w:fill="FFFFFF"/>
        </w:rPr>
        <w:t>，公务用车运行费</w:t>
      </w:r>
      <w:r>
        <w:rPr>
          <w:rFonts w:hint="eastAsia" w:ascii="仿宋" w:hAnsi="仿宋" w:eastAsia="仿宋" w:cs="仿宋"/>
          <w:sz w:val="32"/>
          <w:szCs w:val="32"/>
        </w:rPr>
        <w:t>0万元）</w:t>
      </w:r>
      <w:r>
        <w:rPr>
          <w:rFonts w:hint="eastAsia" w:ascii="仿宋" w:hAnsi="仿宋" w:eastAsia="仿宋" w:cs="仿宋"/>
          <w:sz w:val="32"/>
          <w:shd w:val="clear" w:color="auto" w:fill="FFFFFF"/>
        </w:rPr>
        <w:t>，与上年预算持平。公务车保有量</w:t>
      </w:r>
      <w:r>
        <w:rPr>
          <w:rFonts w:hint="eastAsia" w:ascii="仿宋" w:hAnsi="仿宋" w:eastAsia="仿宋" w:cs="仿宋"/>
          <w:sz w:val="32"/>
          <w:szCs w:val="32"/>
        </w:rPr>
        <w:t>0辆，计划购置0辆</w:t>
      </w:r>
      <w:r>
        <w:rPr>
          <w:rFonts w:hint="eastAsia" w:ascii="仿宋" w:hAnsi="仿宋" w:eastAsia="仿宋" w:cs="仿宋"/>
          <w:sz w:val="32"/>
          <w:shd w:val="clear" w:color="auto" w:fill="FFFFFF"/>
        </w:rPr>
        <w:t>。</w:t>
      </w:r>
      <w:r>
        <w:rPr>
          <w:rFonts w:hint="eastAsia" w:ascii="仿宋" w:hAnsi="仿宋" w:eastAsia="仿宋" w:cs="仿宋"/>
          <w:sz w:val="32"/>
          <w:szCs w:val="32"/>
        </w:rPr>
        <w:t>公务接待费0</w:t>
      </w:r>
      <w:r>
        <w:rPr>
          <w:rFonts w:hint="eastAsia" w:ascii="仿宋" w:hAnsi="仿宋" w:eastAsia="仿宋" w:cs="仿宋"/>
          <w:sz w:val="32"/>
          <w:shd w:val="clear" w:color="auto" w:fill="FFFFFF"/>
        </w:rPr>
        <w:t>万元，与上年预算持平。</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五、关于</w:t>
      </w:r>
      <w:r>
        <w:rPr>
          <w:rFonts w:hint="eastAsia" w:ascii="黑体" w:hAnsi="黑体" w:eastAsia="黑体"/>
          <w:sz w:val="32"/>
          <w:szCs w:val="32"/>
        </w:rPr>
        <w:t>三亚市建设工程质量安全监督站</w:t>
      </w:r>
      <w:r>
        <w:rPr>
          <w:rFonts w:ascii="??_GB2312" w:hAnsi="黑体" w:eastAsia="Times New Roman" w:cs="??_GB2312"/>
          <w:sz w:val="32"/>
          <w:szCs w:val="32"/>
        </w:rPr>
        <w:t>2022</w:t>
      </w:r>
      <w:r>
        <w:rPr>
          <w:rFonts w:hint="eastAsia" w:ascii="黑体" w:hAnsi="黑体" w:eastAsia="黑体" w:cs="Times New Roman"/>
          <w:sz w:val="32"/>
          <w:shd w:val="clear" w:color="auto" w:fill="FFFFFF"/>
        </w:rPr>
        <w:t>年政府性基金预算当年拨款情况说明</w:t>
      </w:r>
    </w:p>
    <w:p>
      <w:pPr>
        <w:ind w:firstLine="640" w:firstLineChars="200"/>
        <w:rPr>
          <w:rFonts w:hint="eastAsia" w:ascii="仿宋" w:hAnsi="仿宋" w:eastAsia="仿宋" w:cs="仿宋"/>
          <w:sz w:val="32"/>
          <w:shd w:val="clear" w:color="auto" w:fill="FFFFFF"/>
          <w:lang w:eastAsia="zh-CN"/>
        </w:rPr>
      </w:pPr>
      <w:r>
        <w:rPr>
          <w:rFonts w:hint="eastAsia" w:ascii="仿宋" w:hAnsi="仿宋" w:eastAsia="仿宋" w:cs="仿宋"/>
          <w:sz w:val="32"/>
          <w:shd w:val="clear" w:color="auto" w:fill="FFFFFF"/>
        </w:rPr>
        <w:t>无</w:t>
      </w:r>
      <w:r>
        <w:rPr>
          <w:rFonts w:hint="eastAsia" w:ascii="仿宋" w:hAnsi="仿宋" w:eastAsia="仿宋" w:cs="仿宋"/>
          <w:sz w:val="32"/>
          <w:shd w:val="clear" w:color="auto" w:fill="FFFFFF"/>
          <w:lang w:eastAsia="zh-CN"/>
        </w:rPr>
        <w:t>，与上年预算持平。</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六、关于</w:t>
      </w:r>
      <w:r>
        <w:rPr>
          <w:rFonts w:hint="eastAsia" w:ascii="黑体" w:hAnsi="黑体" w:eastAsia="黑体"/>
          <w:sz w:val="32"/>
          <w:szCs w:val="32"/>
        </w:rPr>
        <w:t>三亚市建设工程质量安全监督站</w:t>
      </w:r>
      <w:r>
        <w:rPr>
          <w:rFonts w:ascii="??_GB2312" w:hAnsi="黑体" w:eastAsia="Times New Roman" w:cs="??_GB2312"/>
          <w:sz w:val="32"/>
          <w:szCs w:val="32"/>
        </w:rPr>
        <w:t>2022</w:t>
      </w:r>
      <w:r>
        <w:rPr>
          <w:rFonts w:hint="eastAsia" w:ascii="黑体" w:hAnsi="黑体" w:eastAsia="黑体" w:cs="Times New Roman"/>
          <w:sz w:val="32"/>
          <w:shd w:val="clear" w:color="auto" w:fill="FFFFFF"/>
        </w:rPr>
        <w:t>年收支预算情况的总体说明</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按照综合预算原则，三亚市建设工程质量安全监督站所有收入和支出均纳入</w:t>
      </w:r>
      <w:r>
        <w:rPr>
          <w:rFonts w:hint="eastAsia" w:ascii="仿宋" w:hAnsi="仿宋" w:eastAsia="仿宋" w:cs="仿宋"/>
          <w:sz w:val="32"/>
          <w:szCs w:val="32"/>
          <w:lang w:eastAsia="zh-CN"/>
        </w:rPr>
        <w:t>单位</w:t>
      </w:r>
      <w:r>
        <w:rPr>
          <w:rFonts w:hint="eastAsia" w:ascii="仿宋" w:hAnsi="仿宋" w:eastAsia="仿宋" w:cs="仿宋"/>
          <w:sz w:val="32"/>
          <w:szCs w:val="32"/>
        </w:rPr>
        <w:t>预算管理。收入包括：一般公共预算收入。支出包括：社会保障和就业支出、卫生健康支出、城乡社区支出、住房保障支出。三亚市建设工程质量安全监督站2022年收支总预算1139.70万元。</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七、关于</w:t>
      </w:r>
      <w:r>
        <w:rPr>
          <w:rFonts w:hint="eastAsia" w:ascii="黑体" w:hAnsi="黑体" w:eastAsia="黑体"/>
          <w:sz w:val="32"/>
          <w:szCs w:val="32"/>
        </w:rPr>
        <w:t>三亚市建设工程质量安全监督站</w:t>
      </w:r>
      <w:r>
        <w:rPr>
          <w:rFonts w:ascii="??_GB2312" w:hAnsi="黑体" w:eastAsia="Times New Roman" w:cs="??_GB2312"/>
          <w:sz w:val="32"/>
          <w:szCs w:val="32"/>
        </w:rPr>
        <w:t>2022</w:t>
      </w:r>
      <w:r>
        <w:rPr>
          <w:rFonts w:hint="eastAsia" w:ascii="黑体" w:hAnsi="黑体" w:eastAsia="黑体" w:cs="Times New Roman"/>
          <w:sz w:val="32"/>
          <w:shd w:val="clear" w:color="auto" w:fill="FFFFFF"/>
        </w:rPr>
        <w:t>年收入预算情况说明</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三亚市建设工程质量安全监督站2022年收入预算1139.70万元，其中：上年结转0万元，占0%；经费拨款收入1139.70万元，占100%；政府性基金收入0万元，占0%；专项收入0万元，占0%。</w:t>
      </w:r>
      <w:r>
        <w:rPr>
          <w:rFonts w:hint="eastAsia" w:ascii="仿宋" w:hAnsi="仿宋" w:eastAsia="仿宋" w:cs="仿宋"/>
          <w:color w:val="000000"/>
          <w:sz w:val="32"/>
          <w:szCs w:val="32"/>
        </w:rPr>
        <w:t>比上年预算数减少4.13万元，</w:t>
      </w:r>
      <w:r>
        <w:rPr>
          <w:rFonts w:hint="eastAsia" w:ascii="仿宋" w:hAnsi="仿宋" w:eastAsia="仿宋" w:cs="仿宋"/>
          <w:sz w:val="32"/>
          <w:szCs w:val="32"/>
        </w:rPr>
        <w:t>主要是预算调整。</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八、关于</w:t>
      </w:r>
      <w:r>
        <w:rPr>
          <w:rFonts w:hint="eastAsia" w:ascii="黑体" w:hAnsi="黑体" w:eastAsia="黑体"/>
          <w:sz w:val="32"/>
          <w:szCs w:val="32"/>
        </w:rPr>
        <w:t>三亚市建设工程质量安全监督站</w:t>
      </w:r>
      <w:r>
        <w:rPr>
          <w:rFonts w:ascii="??_GB2312" w:hAnsi="黑体" w:eastAsia="Times New Roman" w:cs="??_GB2312"/>
          <w:sz w:val="32"/>
          <w:szCs w:val="32"/>
        </w:rPr>
        <w:t>2022</w:t>
      </w:r>
      <w:r>
        <w:rPr>
          <w:rFonts w:hint="eastAsia" w:ascii="黑体" w:hAnsi="黑体" w:eastAsia="黑体" w:cs="Times New Roman"/>
          <w:sz w:val="32"/>
          <w:shd w:val="clear" w:color="auto" w:fill="FFFFFF"/>
        </w:rPr>
        <w:t>年支出预算情况说明</w:t>
      </w:r>
    </w:p>
    <w:p>
      <w:pPr>
        <w:ind w:firstLine="640" w:firstLineChars="200"/>
        <w:rPr>
          <w:rFonts w:hint="eastAsia" w:ascii="仿宋" w:hAnsi="仿宋" w:eastAsia="仿宋" w:cs="仿宋"/>
          <w:color w:val="FF0000"/>
          <w:sz w:val="32"/>
          <w:szCs w:val="32"/>
        </w:rPr>
      </w:pPr>
      <w:r>
        <w:rPr>
          <w:rFonts w:hint="eastAsia" w:ascii="仿宋" w:hAnsi="仿宋" w:eastAsia="仿宋" w:cs="仿宋"/>
          <w:sz w:val="32"/>
          <w:szCs w:val="32"/>
        </w:rPr>
        <w:t>三亚市建设工程质量安全监督站2022年支出预算1139.70万元，其中：基本支出949.70万元，占83.33%；项目支出190万元，占16.67%。</w:t>
      </w:r>
      <w:r>
        <w:rPr>
          <w:rFonts w:hint="eastAsia" w:ascii="仿宋" w:hAnsi="仿宋" w:eastAsia="仿宋" w:cs="仿宋"/>
          <w:color w:val="000000"/>
          <w:sz w:val="32"/>
          <w:szCs w:val="32"/>
        </w:rPr>
        <w:t>比上年预算数减少4.13万元，</w:t>
      </w:r>
      <w:r>
        <w:rPr>
          <w:rFonts w:hint="eastAsia" w:ascii="仿宋" w:hAnsi="仿宋" w:eastAsia="仿宋" w:cs="仿宋"/>
          <w:sz w:val="32"/>
          <w:szCs w:val="32"/>
        </w:rPr>
        <w:t>主要是预算调整。</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九、其他重要事项的情况说明</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（一）机关运行经费（行政单位、参照公务员法管理的事业单位需说明，其他单位不需要说明）</w:t>
      </w:r>
    </w:p>
    <w:p>
      <w:pPr>
        <w:ind w:firstLine="640" w:firstLineChars="200"/>
        <w:rPr>
          <w:rFonts w:hint="eastAsia" w:ascii="仿宋" w:hAnsi="仿宋" w:eastAsia="仿宋" w:cs="仿宋"/>
          <w:sz w:val="32"/>
          <w:szCs w:val="32"/>
        </w:rPr>
      </w:pPr>
      <w:r>
        <w:rPr>
          <w:rFonts w:hint="eastAsia" w:ascii="仿宋" w:hAnsi="仿宋" w:eastAsia="仿宋" w:cs="仿宋"/>
          <w:sz w:val="32"/>
          <w:szCs w:val="32"/>
          <w:lang w:eastAsia="zh-CN"/>
        </w:rPr>
        <w:t>无，</w:t>
      </w:r>
      <w:r>
        <w:rPr>
          <w:rFonts w:hint="eastAsia" w:ascii="仿宋" w:hAnsi="仿宋" w:eastAsia="仿宋" w:cs="仿宋"/>
          <w:sz w:val="32"/>
          <w:szCs w:val="32"/>
        </w:rPr>
        <w:t>三亚市建设工程质量安全监督站不属于参照公务员法管理的事业单位。</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（二）政府采购情况</w:t>
      </w:r>
    </w:p>
    <w:p>
      <w:pPr>
        <w:ind w:firstLine="640"/>
        <w:rPr>
          <w:rFonts w:hint="eastAsia" w:ascii="仿宋" w:hAnsi="仿宋" w:eastAsia="仿宋" w:cs="仿宋"/>
          <w:sz w:val="32"/>
          <w:szCs w:val="32"/>
        </w:rPr>
      </w:pPr>
      <w:r>
        <w:rPr>
          <w:rFonts w:hint="eastAsia" w:ascii="仿宋" w:hAnsi="仿宋" w:eastAsia="仿宋" w:cs="仿宋"/>
          <w:sz w:val="32"/>
          <w:szCs w:val="32"/>
        </w:rPr>
        <w:t>2022年三亚市建设工程质量安全监督站政府采购预算总额7.44万元，其中：政府采购货物预算7.44万元，政府采购工程预算0万元，政府采购服务预算0万元。</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（三）国有资产占有使用情况</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截至2021年12月31日，三亚市建设工程质量安全监督站共有车辆2辆，其中，领导干部用车1辆，机要通信应急用车0辆、一般执法执勤用车0辆、特种专业技术用车0辆、其他用车1辆。单位价值100万元以上设备0台（套）。</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（四）绩效目标设置情况</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2022年三亚市建设工程质量安全监督站11个项目实行绩效目标管理，涉及一般公共预算1139.7万元、政府性基金0万元。</w:t>
      </w:r>
    </w:p>
    <w:p>
      <w:pPr>
        <w:jc w:val="center"/>
        <w:rPr>
          <w:rFonts w:ascii="黑体" w:hAnsi="黑体" w:eastAsia="黑体"/>
          <w:sz w:val="32"/>
          <w:szCs w:val="32"/>
        </w:rPr>
      </w:pPr>
    </w:p>
    <w:p>
      <w:pPr>
        <w:jc w:val="left"/>
        <w:rPr>
          <w:rFonts w:ascii="??_GB2312" w:hAnsi="宋体" w:eastAsia="Times New Roman" w:cs="宋体"/>
          <w:color w:val="000000"/>
          <w:kern w:val="0"/>
          <w:sz w:val="32"/>
          <w:szCs w:val="30"/>
        </w:rPr>
      </w:pPr>
    </w:p>
    <w:p>
      <w:pPr>
        <w:jc w:val="center"/>
        <w:rPr>
          <w:rFonts w:ascii="黑体" w:hAnsi="黑体" w:eastAsia="黑体"/>
          <w:b/>
          <w:sz w:val="32"/>
          <w:szCs w:val="32"/>
        </w:rPr>
      </w:pPr>
      <w:r>
        <w:rPr>
          <w:rFonts w:hint="eastAsia" w:ascii="黑体" w:hAnsi="黑体" w:eastAsia="黑体"/>
          <w:b/>
          <w:sz w:val="32"/>
          <w:szCs w:val="32"/>
        </w:rPr>
        <w:t>第四部分</w:t>
      </w:r>
      <w:r>
        <w:rPr>
          <w:rFonts w:ascii="黑体" w:hAnsi="黑体" w:eastAsia="黑体"/>
          <w:b/>
          <w:sz w:val="32"/>
          <w:szCs w:val="32"/>
        </w:rPr>
        <w:t xml:space="preserve">  </w:t>
      </w:r>
      <w:r>
        <w:rPr>
          <w:rFonts w:hint="eastAsia" w:ascii="黑体" w:hAnsi="黑体" w:eastAsia="黑体"/>
          <w:b/>
          <w:sz w:val="32"/>
          <w:szCs w:val="32"/>
        </w:rPr>
        <w:t>名词解释</w:t>
      </w:r>
    </w:p>
    <w:p>
      <w:pPr>
        <w:ind w:firstLine="640" w:firstLineChars="200"/>
        <w:jc w:val="left"/>
        <w:rPr>
          <w:rFonts w:ascii="??_GB2312" w:eastAsia="Times New Roman" w:cs="宋体"/>
          <w:bCs/>
          <w:color w:val="000000"/>
          <w:kern w:val="0"/>
          <w:sz w:val="32"/>
          <w:szCs w:val="32"/>
          <w:lang w:val="zh-CN"/>
        </w:rPr>
      </w:pPr>
    </w:p>
    <w:p>
      <w:pPr>
        <w:ind w:firstLine="640" w:firstLineChars="200"/>
        <w:jc w:val="left"/>
        <w:rPr>
          <w:rFonts w:hint="eastAsia" w:ascii="仿宋" w:hAnsi="仿宋" w:eastAsia="仿宋" w:cs="仿宋"/>
          <w:color w:val="000000"/>
          <w:kern w:val="0"/>
          <w:sz w:val="32"/>
          <w:szCs w:val="30"/>
        </w:rPr>
      </w:pPr>
      <w:r>
        <w:rPr>
          <w:rFonts w:hint="eastAsia" w:ascii="仿宋" w:hAnsi="仿宋" w:eastAsia="仿宋" w:cs="仿宋"/>
          <w:color w:val="000000"/>
          <w:kern w:val="0"/>
          <w:sz w:val="32"/>
          <w:szCs w:val="30"/>
        </w:rPr>
        <w:t>一、财政拨款收入：指本级财政当年拨付的资金。</w:t>
      </w:r>
    </w:p>
    <w:p>
      <w:pPr>
        <w:ind w:firstLine="640" w:firstLineChars="200"/>
        <w:jc w:val="left"/>
        <w:rPr>
          <w:rFonts w:hint="eastAsia" w:ascii="仿宋" w:hAnsi="仿宋" w:eastAsia="仿宋" w:cs="仿宋"/>
          <w:color w:val="000000"/>
          <w:kern w:val="0"/>
          <w:sz w:val="32"/>
          <w:szCs w:val="30"/>
        </w:rPr>
      </w:pPr>
      <w:r>
        <w:rPr>
          <w:rFonts w:hint="eastAsia" w:ascii="仿宋" w:hAnsi="仿宋" w:eastAsia="仿宋" w:cs="仿宋"/>
          <w:color w:val="000000"/>
          <w:kern w:val="0"/>
          <w:sz w:val="32"/>
          <w:szCs w:val="30"/>
        </w:rPr>
        <w:t>二、事业收入：指事业单位开展专业业务活动及辅助活动取得的收入。</w:t>
      </w:r>
    </w:p>
    <w:p>
      <w:pPr>
        <w:ind w:firstLine="640" w:firstLineChars="200"/>
        <w:jc w:val="left"/>
        <w:rPr>
          <w:rFonts w:hint="eastAsia" w:ascii="仿宋" w:hAnsi="仿宋" w:eastAsia="仿宋" w:cs="仿宋"/>
          <w:color w:val="000000"/>
          <w:kern w:val="0"/>
          <w:sz w:val="32"/>
          <w:szCs w:val="30"/>
        </w:rPr>
      </w:pPr>
      <w:r>
        <w:rPr>
          <w:rFonts w:hint="eastAsia" w:ascii="仿宋" w:hAnsi="仿宋" w:eastAsia="仿宋" w:cs="仿宋"/>
          <w:color w:val="000000"/>
          <w:kern w:val="0"/>
          <w:sz w:val="32"/>
          <w:szCs w:val="30"/>
        </w:rPr>
        <w:t>三、经营收入：指事业单位在专业业务活动及其辅助活动之外开展非独立核算经营活动取得的收入。</w:t>
      </w:r>
    </w:p>
    <w:p>
      <w:pPr>
        <w:ind w:firstLine="640" w:firstLineChars="200"/>
        <w:jc w:val="left"/>
        <w:rPr>
          <w:rFonts w:hint="eastAsia" w:ascii="仿宋" w:hAnsi="仿宋" w:eastAsia="仿宋" w:cs="仿宋"/>
          <w:color w:val="000000"/>
          <w:kern w:val="0"/>
          <w:sz w:val="32"/>
          <w:szCs w:val="30"/>
        </w:rPr>
      </w:pPr>
      <w:r>
        <w:rPr>
          <w:rFonts w:hint="eastAsia" w:ascii="仿宋" w:hAnsi="仿宋" w:eastAsia="仿宋" w:cs="仿宋"/>
          <w:color w:val="000000"/>
          <w:kern w:val="0"/>
          <w:sz w:val="32"/>
          <w:szCs w:val="30"/>
        </w:rPr>
        <w:t>四、其他收入：指除上述“财政拨款收入”“事业收入”“经营收入”等以外的收入。</w:t>
      </w:r>
    </w:p>
    <w:p>
      <w:pPr>
        <w:ind w:firstLine="640" w:firstLineChars="200"/>
        <w:jc w:val="left"/>
        <w:rPr>
          <w:rFonts w:hint="eastAsia" w:ascii="仿宋" w:hAnsi="仿宋" w:eastAsia="仿宋" w:cs="仿宋"/>
          <w:color w:val="000000"/>
          <w:kern w:val="0"/>
          <w:sz w:val="32"/>
          <w:szCs w:val="30"/>
        </w:rPr>
      </w:pPr>
      <w:r>
        <w:rPr>
          <w:rFonts w:hint="eastAsia" w:ascii="仿宋" w:hAnsi="仿宋" w:eastAsia="仿宋" w:cs="仿宋"/>
          <w:color w:val="000000"/>
          <w:kern w:val="0"/>
          <w:sz w:val="32"/>
          <w:szCs w:val="30"/>
        </w:rPr>
        <w:t>五、年初结转和结余：指以前年度尚未完成、结转到本年按有关规定继续使用的资金。</w:t>
      </w:r>
    </w:p>
    <w:p>
      <w:pPr>
        <w:ind w:firstLine="640" w:firstLineChars="200"/>
        <w:jc w:val="left"/>
        <w:rPr>
          <w:rFonts w:hint="eastAsia" w:ascii="仿宋" w:hAnsi="仿宋" w:eastAsia="仿宋" w:cs="仿宋"/>
          <w:color w:val="000000"/>
          <w:kern w:val="0"/>
          <w:sz w:val="32"/>
          <w:szCs w:val="30"/>
        </w:rPr>
      </w:pPr>
      <w:r>
        <w:rPr>
          <w:rFonts w:hint="eastAsia" w:ascii="仿宋" w:hAnsi="仿宋" w:eastAsia="仿宋" w:cs="仿宋"/>
          <w:color w:val="000000"/>
          <w:kern w:val="0"/>
          <w:sz w:val="32"/>
          <w:szCs w:val="30"/>
        </w:rPr>
        <w:t xml:space="preserve">六、基本支出：指行政事业单位用于为保障其机构正常运转、完成日常工作任务而发生的人员支出和公用支出。   </w:t>
      </w:r>
    </w:p>
    <w:p>
      <w:pPr>
        <w:ind w:firstLine="640" w:firstLineChars="200"/>
        <w:jc w:val="left"/>
        <w:rPr>
          <w:rFonts w:hint="eastAsia" w:ascii="仿宋" w:hAnsi="仿宋" w:eastAsia="仿宋" w:cs="仿宋"/>
          <w:color w:val="000000"/>
          <w:kern w:val="0"/>
          <w:sz w:val="32"/>
          <w:szCs w:val="30"/>
        </w:rPr>
      </w:pPr>
      <w:r>
        <w:rPr>
          <w:rFonts w:hint="eastAsia" w:ascii="仿宋" w:hAnsi="仿宋" w:eastAsia="仿宋" w:cs="仿宋"/>
          <w:color w:val="000000"/>
          <w:kern w:val="0"/>
          <w:sz w:val="32"/>
          <w:szCs w:val="30"/>
        </w:rPr>
        <w:t>七、工资福利支出：反映单位开支的在职职工和编制外长期聘用人员的各类劳动报酬，以及为上述人员缴纳的各项社会保险费等。</w:t>
      </w:r>
    </w:p>
    <w:p>
      <w:pPr>
        <w:ind w:firstLine="640" w:firstLineChars="200"/>
        <w:jc w:val="left"/>
        <w:rPr>
          <w:rFonts w:hint="eastAsia" w:ascii="仿宋" w:hAnsi="仿宋" w:eastAsia="仿宋" w:cs="仿宋"/>
          <w:color w:val="000000"/>
          <w:kern w:val="0"/>
          <w:sz w:val="32"/>
          <w:szCs w:val="30"/>
        </w:rPr>
      </w:pPr>
      <w:r>
        <w:rPr>
          <w:rFonts w:hint="eastAsia" w:ascii="仿宋" w:hAnsi="仿宋" w:eastAsia="仿宋" w:cs="仿宋"/>
          <w:color w:val="000000"/>
          <w:kern w:val="0"/>
          <w:sz w:val="32"/>
          <w:szCs w:val="30"/>
        </w:rPr>
        <w:t>八、对个人和家庭的补助支出：反映政府用于对个人和家庭的补助支出，包括离休费、退休费、退职（役）费、抚恤金、生活补助、救济费、医疗费补助、助学金、独生子女奖励金、其他等。</w:t>
      </w:r>
    </w:p>
    <w:p>
      <w:pPr>
        <w:ind w:firstLine="640" w:firstLineChars="200"/>
        <w:jc w:val="left"/>
        <w:rPr>
          <w:rFonts w:hint="eastAsia" w:ascii="仿宋" w:hAnsi="仿宋" w:eastAsia="仿宋" w:cs="仿宋"/>
          <w:color w:val="000000"/>
          <w:kern w:val="0"/>
          <w:sz w:val="32"/>
          <w:szCs w:val="30"/>
        </w:rPr>
      </w:pPr>
      <w:r>
        <w:rPr>
          <w:rFonts w:hint="eastAsia" w:ascii="仿宋" w:hAnsi="仿宋" w:eastAsia="仿宋" w:cs="仿宋"/>
          <w:color w:val="000000"/>
          <w:kern w:val="0"/>
          <w:sz w:val="32"/>
          <w:szCs w:val="30"/>
        </w:rPr>
        <w:t>九、商品和服务支出：反映单位购买商品和服务的支出，包括办公费、水费、电费、邮电费、培训费、公务用车运行维护费、差旅费、因公出国（境）费用、公务接待费、工会经费、会议费、福利费、物业管理费、维修（护）费、其他等。</w:t>
      </w:r>
    </w:p>
    <w:p>
      <w:pPr>
        <w:ind w:firstLine="640" w:firstLineChars="200"/>
        <w:jc w:val="left"/>
        <w:rPr>
          <w:rFonts w:hint="eastAsia" w:ascii="仿宋" w:hAnsi="仿宋" w:eastAsia="仿宋" w:cs="仿宋"/>
          <w:color w:val="000000"/>
          <w:kern w:val="0"/>
          <w:sz w:val="32"/>
          <w:szCs w:val="30"/>
        </w:rPr>
      </w:pPr>
      <w:r>
        <w:rPr>
          <w:rFonts w:hint="eastAsia" w:ascii="仿宋" w:hAnsi="仿宋" w:eastAsia="仿宋" w:cs="仿宋"/>
          <w:color w:val="000000"/>
          <w:kern w:val="0"/>
          <w:sz w:val="32"/>
          <w:szCs w:val="30"/>
        </w:rPr>
        <w:t>十、项目支出：指各部门、各单位为完成其特定的工作任务和事业发展目标所发生的支出。</w:t>
      </w:r>
    </w:p>
    <w:p>
      <w:pPr>
        <w:ind w:firstLine="640" w:firstLineChars="200"/>
        <w:jc w:val="left"/>
        <w:rPr>
          <w:rFonts w:hint="eastAsia" w:ascii="仿宋" w:hAnsi="仿宋" w:eastAsia="仿宋" w:cs="仿宋"/>
          <w:color w:val="000000"/>
          <w:kern w:val="0"/>
          <w:sz w:val="32"/>
          <w:szCs w:val="30"/>
        </w:rPr>
      </w:pPr>
      <w:r>
        <w:rPr>
          <w:rFonts w:hint="eastAsia" w:ascii="仿宋" w:hAnsi="仿宋" w:eastAsia="仿宋" w:cs="仿宋"/>
          <w:color w:val="000000"/>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ind w:firstLine="640" w:firstLineChars="200"/>
        <w:jc w:val="left"/>
        <w:rPr>
          <w:rFonts w:hint="eastAsia" w:ascii="仿宋" w:hAnsi="仿宋" w:eastAsia="仿宋" w:cs="仿宋"/>
          <w:color w:val="000000"/>
          <w:kern w:val="0"/>
          <w:sz w:val="32"/>
          <w:szCs w:val="30"/>
        </w:rPr>
      </w:pPr>
      <w:r>
        <w:rPr>
          <w:rFonts w:hint="eastAsia" w:ascii="仿宋" w:hAnsi="仿宋" w:eastAsia="仿宋" w:cs="仿宋"/>
          <w:color w:val="000000"/>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pPr>
        <w:ind w:firstLine="640" w:firstLineChars="200"/>
        <w:jc w:val="left"/>
        <w:rPr>
          <w:rFonts w:ascii="??_GB2312" w:hAnsi="宋体" w:eastAsia="Times New Roman" w:cs="宋体"/>
          <w:color w:val="000000"/>
          <w:kern w:val="0"/>
          <w:sz w:val="32"/>
          <w:szCs w:val="30"/>
        </w:rPr>
      </w:pPr>
    </w:p>
    <w:p>
      <w:pPr>
        <w:ind w:firstLine="640" w:firstLineChars="200"/>
        <w:rPr>
          <w:rFonts w:ascii="??_GB2312" w:hAnsi="黑体" w:eastAsia="Times New Roman" w:cs="??_GB2312"/>
          <w:sz w:val="32"/>
          <w:szCs w:val="32"/>
        </w:rPr>
      </w:pPr>
    </w:p>
    <w:p>
      <w:pPr>
        <w:ind w:firstLine="640" w:firstLineChars="200"/>
        <w:jc w:val="left"/>
        <w:rPr>
          <w:rFonts w:ascii="??_GB2312" w:hAnsi="黑体" w:eastAsia="Times New Roman" w:cs="??_GB2312"/>
          <w:sz w:val="32"/>
          <w:szCs w:val="32"/>
        </w:rPr>
      </w:pPr>
    </w:p>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_GB2312">
    <w:altName w:val="Times New Roman"/>
    <w:panose1 w:val="00000000000000000000"/>
    <w:charset w:val="00"/>
    <w:family w:val="auto"/>
    <w:pitch w:val="default"/>
    <w:sig w:usb0="00000000" w:usb1="00000000" w:usb2="00000000" w:usb3="00000000" w:csb0="00000001" w:csb1="0000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rPr>
        <w:rFonts w:cs="Times New Roman"/>
      </w:rPr>
    </w:lvl>
    <w:lvl w:ilvl="2" w:tentative="0">
      <w:start w:val="1"/>
      <w:numFmt w:val="lowerRoman"/>
      <w:lvlText w:val="%3."/>
      <w:lvlJc w:val="right"/>
      <w:pPr>
        <w:ind w:left="1260" w:hanging="420"/>
      </w:pPr>
      <w:rPr>
        <w:rFonts w:cs="Times New Roman"/>
      </w:rPr>
    </w:lvl>
    <w:lvl w:ilvl="3" w:tentative="0">
      <w:start w:val="1"/>
      <w:numFmt w:val="decimal"/>
      <w:lvlText w:val="%4."/>
      <w:lvlJc w:val="left"/>
      <w:pPr>
        <w:ind w:left="1680" w:hanging="420"/>
      </w:pPr>
      <w:rPr>
        <w:rFonts w:cs="Times New Roman"/>
      </w:rPr>
    </w:lvl>
    <w:lvl w:ilvl="4" w:tentative="0">
      <w:start w:val="1"/>
      <w:numFmt w:val="lowerLetter"/>
      <w:lvlText w:val="%5)"/>
      <w:lvlJc w:val="left"/>
      <w:pPr>
        <w:ind w:left="2100" w:hanging="420"/>
      </w:pPr>
      <w:rPr>
        <w:rFonts w:cs="Times New Roman"/>
      </w:rPr>
    </w:lvl>
    <w:lvl w:ilvl="5" w:tentative="0">
      <w:start w:val="1"/>
      <w:numFmt w:val="lowerRoman"/>
      <w:lvlText w:val="%6."/>
      <w:lvlJc w:val="right"/>
      <w:pPr>
        <w:ind w:left="2520" w:hanging="420"/>
      </w:pPr>
      <w:rPr>
        <w:rFonts w:cs="Times New Roman"/>
      </w:rPr>
    </w:lvl>
    <w:lvl w:ilvl="6" w:tentative="0">
      <w:start w:val="1"/>
      <w:numFmt w:val="decimal"/>
      <w:lvlText w:val="%7."/>
      <w:lvlJc w:val="left"/>
      <w:pPr>
        <w:ind w:left="2940" w:hanging="420"/>
      </w:pPr>
      <w:rPr>
        <w:rFonts w:cs="Times New Roman"/>
      </w:rPr>
    </w:lvl>
    <w:lvl w:ilvl="7" w:tentative="0">
      <w:start w:val="1"/>
      <w:numFmt w:val="lowerLetter"/>
      <w:lvlText w:val="%8)"/>
      <w:lvlJc w:val="left"/>
      <w:pPr>
        <w:ind w:left="3360" w:hanging="420"/>
      </w:pPr>
      <w:rPr>
        <w:rFonts w:cs="Times New Roman"/>
      </w:rPr>
    </w:lvl>
    <w:lvl w:ilvl="8" w:tentative="0">
      <w:start w:val="1"/>
      <w:numFmt w:val="lowerRoman"/>
      <w:lvlText w:val="%9."/>
      <w:lvlJc w:val="right"/>
      <w:pPr>
        <w:ind w:left="3780" w:hanging="420"/>
      </w:pPr>
      <w:rPr>
        <w:rFonts w:cs="Times New Roman"/>
      </w:rPr>
    </w:lvl>
  </w:abstractNum>
  <w:abstractNum w:abstractNumId="1">
    <w:nsid w:val="4C9A6287"/>
    <w:multiLevelType w:val="multilevel"/>
    <w:tmpl w:val="4C9A6287"/>
    <w:lvl w:ilvl="0" w:tentative="0">
      <w:start w:val="1"/>
      <w:numFmt w:val="japaneseCounting"/>
      <w:lvlText w:val="%1、"/>
      <w:lvlJc w:val="left"/>
      <w:pPr>
        <w:ind w:left="720" w:hanging="720"/>
      </w:pPr>
      <w:rPr>
        <w:rFonts w:hint="default" w:cs="Times New Roman"/>
      </w:rPr>
    </w:lvl>
    <w:lvl w:ilvl="1" w:tentative="0">
      <w:start w:val="1"/>
      <w:numFmt w:val="lowerLetter"/>
      <w:lvlText w:val="%2)"/>
      <w:lvlJc w:val="left"/>
      <w:pPr>
        <w:ind w:left="840" w:hanging="420"/>
      </w:pPr>
      <w:rPr>
        <w:rFonts w:cs="Times New Roman"/>
      </w:rPr>
    </w:lvl>
    <w:lvl w:ilvl="2" w:tentative="0">
      <w:start w:val="1"/>
      <w:numFmt w:val="lowerRoman"/>
      <w:lvlText w:val="%3."/>
      <w:lvlJc w:val="right"/>
      <w:pPr>
        <w:ind w:left="1260" w:hanging="420"/>
      </w:pPr>
      <w:rPr>
        <w:rFonts w:cs="Times New Roman"/>
      </w:rPr>
    </w:lvl>
    <w:lvl w:ilvl="3" w:tentative="0">
      <w:start w:val="1"/>
      <w:numFmt w:val="decimal"/>
      <w:lvlText w:val="%4."/>
      <w:lvlJc w:val="left"/>
      <w:pPr>
        <w:ind w:left="1680" w:hanging="420"/>
      </w:pPr>
      <w:rPr>
        <w:rFonts w:cs="Times New Roman"/>
      </w:rPr>
    </w:lvl>
    <w:lvl w:ilvl="4" w:tentative="0">
      <w:start w:val="1"/>
      <w:numFmt w:val="lowerLetter"/>
      <w:lvlText w:val="%5)"/>
      <w:lvlJc w:val="left"/>
      <w:pPr>
        <w:ind w:left="2100" w:hanging="420"/>
      </w:pPr>
      <w:rPr>
        <w:rFonts w:cs="Times New Roman"/>
      </w:rPr>
    </w:lvl>
    <w:lvl w:ilvl="5" w:tentative="0">
      <w:start w:val="1"/>
      <w:numFmt w:val="lowerRoman"/>
      <w:lvlText w:val="%6."/>
      <w:lvlJc w:val="right"/>
      <w:pPr>
        <w:ind w:left="2520" w:hanging="420"/>
      </w:pPr>
      <w:rPr>
        <w:rFonts w:cs="Times New Roman"/>
      </w:rPr>
    </w:lvl>
    <w:lvl w:ilvl="6" w:tentative="0">
      <w:start w:val="1"/>
      <w:numFmt w:val="decimal"/>
      <w:lvlText w:val="%7."/>
      <w:lvlJc w:val="left"/>
      <w:pPr>
        <w:ind w:left="2940" w:hanging="420"/>
      </w:pPr>
      <w:rPr>
        <w:rFonts w:cs="Times New Roman"/>
      </w:rPr>
    </w:lvl>
    <w:lvl w:ilvl="7" w:tentative="0">
      <w:start w:val="1"/>
      <w:numFmt w:val="lowerLetter"/>
      <w:lvlText w:val="%8)"/>
      <w:lvlJc w:val="left"/>
      <w:pPr>
        <w:ind w:left="3360" w:hanging="420"/>
      </w:pPr>
      <w:rPr>
        <w:rFonts w:cs="Times New Roman"/>
      </w:rPr>
    </w:lvl>
    <w:lvl w:ilvl="8" w:tentative="0">
      <w:start w:val="1"/>
      <w:numFmt w:val="lowerRoman"/>
      <w:lvlText w:val="%9."/>
      <w:lvlJc w:val="right"/>
      <w:pPr>
        <w:ind w:left="3780" w:hanging="420"/>
      </w:pPr>
      <w:rPr>
        <w:rFonts w:cs="Times New Roman"/>
      </w:rPr>
    </w:lvl>
  </w:abstractNum>
  <w:abstractNum w:abstractNumId="2">
    <w:nsid w:val="5A611727"/>
    <w:multiLevelType w:val="multilevel"/>
    <w:tmpl w:val="5A611727"/>
    <w:lvl w:ilvl="0" w:tentative="0">
      <w:start w:val="1"/>
      <w:numFmt w:val="japaneseCounting"/>
      <w:lvlText w:val="%1、"/>
      <w:lvlJc w:val="left"/>
      <w:pPr>
        <w:ind w:left="720" w:hanging="720"/>
      </w:pPr>
      <w:rPr>
        <w:rFonts w:hint="default" w:ascii="??_GB2312" w:hAnsi="??_GB2312" w:eastAsia="Times New Roman" w:cs="??_GB2312"/>
      </w:rPr>
    </w:lvl>
    <w:lvl w:ilvl="1" w:tentative="0">
      <w:start w:val="1"/>
      <w:numFmt w:val="lowerLetter"/>
      <w:lvlText w:val="%2)"/>
      <w:lvlJc w:val="left"/>
      <w:pPr>
        <w:ind w:left="840" w:hanging="420"/>
      </w:pPr>
      <w:rPr>
        <w:rFonts w:cs="Times New Roman"/>
      </w:rPr>
    </w:lvl>
    <w:lvl w:ilvl="2" w:tentative="0">
      <w:start w:val="1"/>
      <w:numFmt w:val="lowerRoman"/>
      <w:lvlText w:val="%3."/>
      <w:lvlJc w:val="right"/>
      <w:pPr>
        <w:ind w:left="1260" w:hanging="420"/>
      </w:pPr>
      <w:rPr>
        <w:rFonts w:cs="Times New Roman"/>
      </w:rPr>
    </w:lvl>
    <w:lvl w:ilvl="3" w:tentative="0">
      <w:start w:val="1"/>
      <w:numFmt w:val="decimal"/>
      <w:lvlText w:val="%4."/>
      <w:lvlJc w:val="left"/>
      <w:pPr>
        <w:ind w:left="1680" w:hanging="420"/>
      </w:pPr>
      <w:rPr>
        <w:rFonts w:cs="Times New Roman"/>
      </w:rPr>
    </w:lvl>
    <w:lvl w:ilvl="4" w:tentative="0">
      <w:start w:val="1"/>
      <w:numFmt w:val="lowerLetter"/>
      <w:lvlText w:val="%5)"/>
      <w:lvlJc w:val="left"/>
      <w:pPr>
        <w:ind w:left="2100" w:hanging="420"/>
      </w:pPr>
      <w:rPr>
        <w:rFonts w:cs="Times New Roman"/>
      </w:rPr>
    </w:lvl>
    <w:lvl w:ilvl="5" w:tentative="0">
      <w:start w:val="1"/>
      <w:numFmt w:val="lowerRoman"/>
      <w:lvlText w:val="%6."/>
      <w:lvlJc w:val="right"/>
      <w:pPr>
        <w:ind w:left="2520" w:hanging="420"/>
      </w:pPr>
      <w:rPr>
        <w:rFonts w:cs="Times New Roman"/>
      </w:rPr>
    </w:lvl>
    <w:lvl w:ilvl="6" w:tentative="0">
      <w:start w:val="1"/>
      <w:numFmt w:val="decimal"/>
      <w:lvlText w:val="%7."/>
      <w:lvlJc w:val="left"/>
      <w:pPr>
        <w:ind w:left="2940" w:hanging="420"/>
      </w:pPr>
      <w:rPr>
        <w:rFonts w:cs="Times New Roman"/>
      </w:rPr>
    </w:lvl>
    <w:lvl w:ilvl="7" w:tentative="0">
      <w:start w:val="1"/>
      <w:numFmt w:val="lowerLetter"/>
      <w:lvlText w:val="%8)"/>
      <w:lvlJc w:val="left"/>
      <w:pPr>
        <w:ind w:left="3360" w:hanging="420"/>
      </w:pPr>
      <w:rPr>
        <w:rFonts w:cs="Times New Roman"/>
      </w:rPr>
    </w:lvl>
    <w:lvl w:ilvl="8" w:tentative="0">
      <w:start w:val="1"/>
      <w:numFmt w:val="lowerRoman"/>
      <w:lvlText w:val="%9."/>
      <w:lvlJc w:val="right"/>
      <w:pPr>
        <w:ind w:left="3780" w:hanging="420"/>
      </w:pPr>
      <w:rPr>
        <w:rFonts w:cs="Times New Roman"/>
      </w:rPr>
    </w:lvl>
  </w:abstractNum>
  <w:abstractNum w:abstractNumId="3">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rPr>
        <w:rFonts w:cs="Times New Roman"/>
      </w:rPr>
    </w:lvl>
    <w:lvl w:ilvl="2" w:tentative="0">
      <w:start w:val="1"/>
      <w:numFmt w:val="lowerRoman"/>
      <w:lvlText w:val="%3."/>
      <w:lvlJc w:val="right"/>
      <w:pPr>
        <w:ind w:left="1260" w:hanging="420"/>
      </w:pPr>
      <w:rPr>
        <w:rFonts w:cs="Times New Roman"/>
      </w:rPr>
    </w:lvl>
    <w:lvl w:ilvl="3" w:tentative="0">
      <w:start w:val="1"/>
      <w:numFmt w:val="decimal"/>
      <w:lvlText w:val="%4."/>
      <w:lvlJc w:val="left"/>
      <w:pPr>
        <w:ind w:left="1680" w:hanging="420"/>
      </w:pPr>
      <w:rPr>
        <w:rFonts w:cs="Times New Roman"/>
      </w:rPr>
    </w:lvl>
    <w:lvl w:ilvl="4" w:tentative="0">
      <w:start w:val="1"/>
      <w:numFmt w:val="lowerLetter"/>
      <w:lvlText w:val="%5)"/>
      <w:lvlJc w:val="left"/>
      <w:pPr>
        <w:ind w:left="2100" w:hanging="420"/>
      </w:pPr>
      <w:rPr>
        <w:rFonts w:cs="Times New Roman"/>
      </w:rPr>
    </w:lvl>
    <w:lvl w:ilvl="5" w:tentative="0">
      <w:start w:val="1"/>
      <w:numFmt w:val="lowerRoman"/>
      <w:lvlText w:val="%6."/>
      <w:lvlJc w:val="right"/>
      <w:pPr>
        <w:ind w:left="2520" w:hanging="420"/>
      </w:pPr>
      <w:rPr>
        <w:rFonts w:cs="Times New Roman"/>
      </w:rPr>
    </w:lvl>
    <w:lvl w:ilvl="6" w:tentative="0">
      <w:start w:val="1"/>
      <w:numFmt w:val="decimal"/>
      <w:lvlText w:val="%7."/>
      <w:lvlJc w:val="left"/>
      <w:pPr>
        <w:ind w:left="2940" w:hanging="420"/>
      </w:pPr>
      <w:rPr>
        <w:rFonts w:cs="Times New Roman"/>
      </w:rPr>
    </w:lvl>
    <w:lvl w:ilvl="7" w:tentative="0">
      <w:start w:val="1"/>
      <w:numFmt w:val="lowerLetter"/>
      <w:lvlText w:val="%8)"/>
      <w:lvlJc w:val="left"/>
      <w:pPr>
        <w:ind w:left="3360" w:hanging="420"/>
      </w:pPr>
      <w:rPr>
        <w:rFonts w:cs="Times New Roman"/>
      </w:rPr>
    </w:lvl>
    <w:lvl w:ilvl="8" w:tentative="0">
      <w:start w:val="1"/>
      <w:numFmt w:val="lowerRoman"/>
      <w:lvlText w:val="%9."/>
      <w:lvlJc w:val="right"/>
      <w:pPr>
        <w:ind w:left="3780" w:hanging="420"/>
      </w:pPr>
      <w:rPr>
        <w:rFonts w:cs="Times New Roman"/>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22A3"/>
    <w:rsid w:val="0027054E"/>
    <w:rsid w:val="00275044"/>
    <w:rsid w:val="00420479"/>
    <w:rsid w:val="005D1959"/>
    <w:rsid w:val="00633209"/>
    <w:rsid w:val="00990473"/>
    <w:rsid w:val="00BB79BC"/>
    <w:rsid w:val="00DD6804"/>
    <w:rsid w:val="00E121E5"/>
    <w:rsid w:val="035B6139"/>
    <w:rsid w:val="050D1339"/>
    <w:rsid w:val="059633E4"/>
    <w:rsid w:val="0709159D"/>
    <w:rsid w:val="08D23358"/>
    <w:rsid w:val="098C5AE5"/>
    <w:rsid w:val="0D4C7C37"/>
    <w:rsid w:val="0FB8578B"/>
    <w:rsid w:val="10714E66"/>
    <w:rsid w:val="12815271"/>
    <w:rsid w:val="1A7E61A6"/>
    <w:rsid w:val="1ADA1A9B"/>
    <w:rsid w:val="1B116305"/>
    <w:rsid w:val="1D413DD5"/>
    <w:rsid w:val="24053B8E"/>
    <w:rsid w:val="24B7208C"/>
    <w:rsid w:val="296D7B16"/>
    <w:rsid w:val="29B21FBC"/>
    <w:rsid w:val="2AD73BDE"/>
    <w:rsid w:val="2BFC23C6"/>
    <w:rsid w:val="2D280373"/>
    <w:rsid w:val="30FBD555"/>
    <w:rsid w:val="31677110"/>
    <w:rsid w:val="333159DF"/>
    <w:rsid w:val="341E402A"/>
    <w:rsid w:val="34864068"/>
    <w:rsid w:val="383B1047"/>
    <w:rsid w:val="385C7C98"/>
    <w:rsid w:val="38651790"/>
    <w:rsid w:val="39353D16"/>
    <w:rsid w:val="396B64BA"/>
    <w:rsid w:val="3B0C6FA2"/>
    <w:rsid w:val="3B544573"/>
    <w:rsid w:val="3C757EB2"/>
    <w:rsid w:val="3D541138"/>
    <w:rsid w:val="42A6189A"/>
    <w:rsid w:val="469F24B9"/>
    <w:rsid w:val="473B4484"/>
    <w:rsid w:val="49987F93"/>
    <w:rsid w:val="4ED71F14"/>
    <w:rsid w:val="548A656C"/>
    <w:rsid w:val="54F37EBE"/>
    <w:rsid w:val="5595047A"/>
    <w:rsid w:val="588C554E"/>
    <w:rsid w:val="589D69A9"/>
    <w:rsid w:val="5AA76080"/>
    <w:rsid w:val="5E1562B3"/>
    <w:rsid w:val="5E5C12A1"/>
    <w:rsid w:val="61485853"/>
    <w:rsid w:val="64D052BD"/>
    <w:rsid w:val="65967DAC"/>
    <w:rsid w:val="6BF9088F"/>
    <w:rsid w:val="6CD16EE5"/>
    <w:rsid w:val="6D094657"/>
    <w:rsid w:val="6DA16914"/>
    <w:rsid w:val="6E5358F3"/>
    <w:rsid w:val="6FDC2943"/>
    <w:rsid w:val="6FE359B6"/>
    <w:rsid w:val="72C967DD"/>
    <w:rsid w:val="75E946E5"/>
    <w:rsid w:val="76D53F30"/>
    <w:rsid w:val="7704086C"/>
    <w:rsid w:val="790130F3"/>
    <w:rsid w:val="79421A4C"/>
    <w:rsid w:val="7D3120D3"/>
    <w:rsid w:val="7DC03FBB"/>
    <w:rsid w:val="7F576083"/>
    <w:rsid w:val="F3E7B15C"/>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uiPriority="99" w:name="header"/>
    <w:lsdException w:uiPriority="99"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nhideWhenUsed="0" w:uiPriority="99"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4">
    <w:name w:val="Default Paragraph Font"/>
    <w:semiHidden/>
    <w:qFormat/>
    <w:uiPriority w:val="99"/>
  </w:style>
  <w:style w:type="table" w:default="1" w:styleId="3">
    <w:name w:val="Normal Table"/>
    <w:unhideWhenUsed/>
    <w:qFormat/>
    <w:uiPriority w:val="99"/>
    <w:tblPr>
      <w:tblLayout w:type="fixed"/>
      <w:tblCellMar>
        <w:top w:w="0" w:type="dxa"/>
        <w:left w:w="108" w:type="dxa"/>
        <w:bottom w:w="0" w:type="dxa"/>
        <w:right w:w="108" w:type="dxa"/>
      </w:tblCellMar>
    </w:tblPr>
  </w:style>
  <w:style w:type="paragraph" w:styleId="2">
    <w:name w:val="annotation text"/>
    <w:basedOn w:val="1"/>
    <w:unhideWhenUsed/>
    <w:qFormat/>
    <w:uiPriority w:val="99"/>
    <w:pPr>
      <w:jc w:val="left"/>
    </w:pPr>
  </w:style>
  <w:style w:type="paragraph" w:customStyle="1" w:styleId="5">
    <w:name w:val="List Paragraph1"/>
    <w:basedOn w:val="1"/>
    <w:qFormat/>
    <w:uiPriority w:val="99"/>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Normal_Wordconv.dotm</Template>
  <Pages>11</Pages>
  <Words>615</Words>
  <Characters>3510</Characters>
  <Lines>0</Lines>
  <Paragraphs>0</Paragraphs>
  <TotalTime>4</TotalTime>
  <ScaleCrop>false</ScaleCrop>
  <LinksUpToDate>false</LinksUpToDate>
  <CharactersWithSpaces>0</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2022-02-17T21:01:00Z</dcterms:created>
  <dc:creator>Administrator</dc:creator>
  <cp:lastModifiedBy>王晟楠</cp:lastModifiedBy>
  <dcterms:modified xsi:type="dcterms:W3CDTF">2023-10-08T03:46:58Z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y fmtid="{D5CDD505-2E9C-101B-9397-08002B2CF9AE}" pid="3" name="ICV">
    <vt:lpwstr>87CA7E4F818D6E594510AD6440EBB283</vt:lpwstr>
  </property>
</Properties>
</file>