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p>
    <w:p>
      <w:pPr>
        <w:rPr>
          <w:sz w:val="84"/>
          <w:szCs w:val="84"/>
          <w:u w:val="single"/>
        </w:rPr>
      </w:pPr>
    </w:p>
    <w:p>
      <w:pPr>
        <w:rPr>
          <w:sz w:val="84"/>
          <w:szCs w:val="84"/>
          <w:u w:val="single"/>
        </w:rPr>
      </w:pPr>
    </w:p>
    <w:p>
      <w:pPr>
        <w:rPr>
          <w:sz w:val="84"/>
          <w:szCs w:val="84"/>
          <w:u w:val="single"/>
        </w:rPr>
      </w:pPr>
    </w:p>
    <w:p>
      <w:pPr>
        <w:jc w:val="center"/>
        <w:rPr>
          <w:sz w:val="52"/>
          <w:szCs w:val="52"/>
        </w:rPr>
      </w:pPr>
      <w:r>
        <w:rPr>
          <w:rFonts w:hint="eastAsia"/>
          <w:sz w:val="52"/>
          <w:szCs w:val="52"/>
          <w:lang w:val="en-US" w:eastAsia="zh-CN"/>
        </w:rPr>
        <w:t>2022</w:t>
      </w:r>
      <w:r>
        <w:rPr>
          <w:rFonts w:hint="eastAsia"/>
          <w:sz w:val="52"/>
          <w:szCs w:val="52"/>
        </w:rPr>
        <w:t>年</w:t>
      </w:r>
      <w:r>
        <w:rPr>
          <w:rFonts w:hint="eastAsia"/>
          <w:sz w:val="52"/>
          <w:szCs w:val="52"/>
          <w:lang w:val="en-US" w:eastAsia="zh-CN"/>
        </w:rPr>
        <w:t>三亚市药品不良反应监测中心</w:t>
      </w:r>
      <w:r>
        <w:rPr>
          <w:rFonts w:hint="eastAsia"/>
          <w:sz w:val="52"/>
          <w:szCs w:val="52"/>
        </w:rPr>
        <w:t>单位预算</w:t>
      </w: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lang w:eastAsia="zh-CN"/>
        </w:rPr>
        <w:t>三亚市药品不良反应监测中心</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2"/>
        </w:numPr>
        <w:ind w:firstLineChars="0"/>
        <w:jc w:val="left"/>
        <w:rPr>
          <w:rFonts w:ascii="黑体" w:hAnsi="黑体" w:eastAsia="黑体"/>
          <w:sz w:val="32"/>
          <w:szCs w:val="32"/>
        </w:rPr>
      </w:pPr>
      <w:r>
        <w:rPr>
          <w:rFonts w:hint="eastAsia" w:ascii="黑体" w:hAnsi="黑体" w:eastAsia="黑体"/>
          <w:color w:val="auto"/>
          <w:sz w:val="32"/>
          <w:szCs w:val="32"/>
        </w:rPr>
        <w:t>机构设置</w:t>
      </w:r>
    </w:p>
    <w:p>
      <w:pPr>
        <w:pStyle w:val="6"/>
        <w:numPr>
          <w:ilvl w:val="0"/>
          <w:numId w:val="1"/>
        </w:numPr>
        <w:ind w:firstLineChars="0"/>
        <w:rPr>
          <w:rFonts w:ascii="黑体" w:hAnsi="黑体" w:eastAsia="黑体"/>
          <w:sz w:val="32"/>
          <w:szCs w:val="32"/>
        </w:rPr>
      </w:pP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bookmarkStart w:id="0" w:name="_GoBack"/>
      <w:bookmarkEnd w:id="0"/>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lang w:eastAsia="zh-CN"/>
        </w:rPr>
        <w:t>三亚市药品不良反应监测中心单位</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ind w:left="0" w:leftChars="0" w:firstLine="0" w:firstLineChars="0"/>
        <w:jc w:val="left"/>
        <w:rPr>
          <w:rFonts w:hint="eastAsia" w:ascii="仿宋_GB2312" w:eastAsia="仿宋_GB2312" w:cs="仿宋_GB2312"/>
          <w:sz w:val="32"/>
          <w:szCs w:val="32"/>
        </w:rPr>
      </w:pPr>
      <w:r>
        <w:rPr>
          <w:rFonts w:hint="eastAsia" w:ascii="仿宋_GB2312" w:hAnsi="仿宋" w:eastAsia="仿宋_GB2312" w:cs="仿宋_GB2312"/>
          <w:sz w:val="32"/>
          <w:szCs w:val="32"/>
          <w:lang w:val="en-US" w:eastAsia="zh-CN"/>
        </w:rPr>
        <w:t xml:space="preserve">   </w:t>
      </w:r>
      <w:r>
        <w:rPr>
          <w:rFonts w:hint="eastAsia" w:ascii="仿宋_GB2312" w:hAnsi="仿宋" w:eastAsia="仿宋_GB2312" w:cs="仿宋_GB2312"/>
          <w:sz w:val="32"/>
          <w:szCs w:val="32"/>
        </w:rPr>
        <w:t>三亚市</w:t>
      </w:r>
      <w:r>
        <w:rPr>
          <w:rFonts w:hint="eastAsia" w:ascii="仿宋_GB2312" w:hAnsi="仿宋" w:eastAsia="仿宋_GB2312" w:cs="仿宋_GB2312"/>
          <w:sz w:val="32"/>
          <w:szCs w:val="32"/>
          <w:lang w:eastAsia="zh-CN"/>
        </w:rPr>
        <w:t>药品不良反应</w:t>
      </w:r>
      <w:r>
        <w:rPr>
          <w:rFonts w:hint="eastAsia" w:ascii="仿宋_GB2312" w:hAnsi="仿宋" w:eastAsia="仿宋_GB2312" w:cs="仿宋_GB2312"/>
          <w:sz w:val="32"/>
          <w:szCs w:val="32"/>
        </w:rPr>
        <w:t>监测中心主要</w:t>
      </w:r>
      <w:r>
        <w:rPr>
          <w:rFonts w:hint="eastAsia" w:ascii="仿宋_GB2312" w:eastAsia="仿宋_GB2312" w:cs="仿宋_GB2312"/>
          <w:sz w:val="32"/>
          <w:szCs w:val="32"/>
        </w:rPr>
        <w:t>负责全市药品,医疗器械和化妆品上市后风险管理</w:t>
      </w:r>
      <w:r>
        <w:rPr>
          <w:rFonts w:hint="eastAsia" w:ascii="仿宋_GB2312" w:eastAsia="仿宋_GB2312" w:cs="仿宋_GB2312"/>
          <w:sz w:val="32"/>
          <w:szCs w:val="32"/>
          <w:lang w:eastAsia="zh-CN"/>
        </w:rPr>
        <w:t>。</w:t>
      </w:r>
      <w:r>
        <w:rPr>
          <w:rFonts w:hint="eastAsia" w:ascii="仿宋_GB2312" w:eastAsia="仿宋_GB2312" w:cs="仿宋_GB2312"/>
          <w:sz w:val="32"/>
          <w:szCs w:val="32"/>
        </w:rPr>
        <w:t>建立药品不良反应、医疗器械不良事件和化妆品不良反应监测体系,并开展监测,评价和处置工作</w:t>
      </w:r>
      <w:r>
        <w:rPr>
          <w:rFonts w:hint="eastAsia" w:ascii="仿宋_GB2312" w:eastAsia="仿宋_GB2312" w:cs="仿宋_GB2312"/>
          <w:sz w:val="32"/>
          <w:szCs w:val="32"/>
          <w:lang w:eastAsia="zh-CN"/>
        </w:rPr>
        <w:t>。</w:t>
      </w:r>
      <w:r>
        <w:rPr>
          <w:rFonts w:hint="eastAsia" w:ascii="仿宋_GB2312" w:eastAsia="仿宋_GB2312" w:cs="仿宋_GB2312"/>
          <w:sz w:val="32"/>
          <w:szCs w:val="32"/>
        </w:rPr>
        <w:t>负责药品,医疗器械和化妆品安全事件应急体泵建设,组织和指导药品,医疗器械和化妆品安全事件应急处置和调查处理工作。</w:t>
      </w:r>
    </w:p>
    <w:p>
      <w:pPr>
        <w:ind w:firstLine="627" w:firstLineChars="196"/>
        <w:rPr>
          <w:rFonts w:hint="default" w:ascii="Times New Roman" w:hAnsi="Times New Roman" w:eastAsia="仿宋_GB2312" w:cs="Times New Roman"/>
          <w:kern w:val="2"/>
          <w:sz w:val="32"/>
          <w:szCs w:val="32"/>
          <w:lang w:val="en-US" w:eastAsia="zh-CN" w:bidi="ar-SA"/>
        </w:rPr>
      </w:pPr>
      <w:r>
        <w:rPr>
          <w:rFonts w:hint="eastAsia" w:ascii="仿宋_GB2312" w:hAnsi="仿宋" w:eastAsia="仿宋_GB2312" w:cs="仿宋_GB2312"/>
          <w:sz w:val="32"/>
          <w:szCs w:val="32"/>
        </w:rPr>
        <w:t>三亚市</w:t>
      </w:r>
      <w:r>
        <w:rPr>
          <w:rFonts w:hint="eastAsia" w:ascii="仿宋_GB2312" w:hAnsi="仿宋" w:eastAsia="仿宋_GB2312" w:cs="仿宋_GB2312"/>
          <w:sz w:val="32"/>
          <w:szCs w:val="32"/>
          <w:lang w:eastAsia="zh-CN"/>
        </w:rPr>
        <w:t>药品不良反应</w:t>
      </w:r>
      <w:r>
        <w:rPr>
          <w:rFonts w:hint="eastAsia" w:ascii="仿宋_GB2312" w:hAnsi="仿宋" w:eastAsia="仿宋_GB2312" w:cs="仿宋_GB2312"/>
          <w:sz w:val="32"/>
          <w:szCs w:val="32"/>
        </w:rPr>
        <w:t>监测中心</w:t>
      </w:r>
      <w:r>
        <w:rPr>
          <w:rFonts w:hint="default" w:ascii="Times New Roman" w:hAnsi="Times New Roman" w:eastAsia="仿宋_GB2312" w:cs="Times New Roman"/>
          <w:kern w:val="2"/>
          <w:sz w:val="32"/>
          <w:szCs w:val="32"/>
          <w:lang w:val="en-US" w:eastAsia="zh-CN" w:bidi="ar-SA"/>
        </w:rPr>
        <w:t>核定事业编制</w:t>
      </w:r>
      <w:r>
        <w:rPr>
          <w:rFonts w:hint="eastAsia" w:ascii="Times New Roman" w:hAnsi="Times New Roman" w:eastAsia="仿宋_GB2312" w:cs="Times New Roman"/>
          <w:kern w:val="2"/>
          <w:sz w:val="32"/>
          <w:szCs w:val="32"/>
          <w:lang w:val="en-US" w:eastAsia="zh-CN" w:bidi="ar-SA"/>
        </w:rPr>
        <w:t>5</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现实有人数4名，其中在编</w:t>
      </w:r>
      <w:r>
        <w:rPr>
          <w:rFonts w:hint="default" w:ascii="Times New Roman" w:hAnsi="Times New Roman" w:eastAsia="仿宋_GB2312" w:cs="Times New Roman"/>
          <w:kern w:val="2"/>
          <w:sz w:val="32"/>
          <w:szCs w:val="32"/>
          <w:lang w:val="en-US" w:eastAsia="zh-CN" w:bidi="ar-SA"/>
        </w:rPr>
        <w:t>在</w:t>
      </w:r>
      <w:r>
        <w:rPr>
          <w:rFonts w:hint="eastAsia" w:ascii="Times New Roman" w:hAnsi="Times New Roman" w:eastAsia="仿宋_GB2312" w:cs="Times New Roman"/>
          <w:kern w:val="2"/>
          <w:sz w:val="32"/>
          <w:szCs w:val="32"/>
          <w:lang w:val="en-US" w:eastAsia="zh-CN" w:bidi="ar-SA"/>
        </w:rPr>
        <w:t>岗</w:t>
      </w:r>
      <w:r>
        <w:rPr>
          <w:rFonts w:hint="default" w:ascii="Times New Roman" w:hAnsi="Times New Roman" w:eastAsia="仿宋_GB2312" w:cs="Times New Roman"/>
          <w:kern w:val="2"/>
          <w:sz w:val="32"/>
          <w:szCs w:val="32"/>
          <w:lang w:val="en-US" w:eastAsia="zh-CN" w:bidi="ar-SA"/>
        </w:rPr>
        <w:t>人员</w:t>
      </w:r>
      <w:r>
        <w:rPr>
          <w:rFonts w:hint="eastAsia" w:ascii="Times New Roman" w:hAnsi="Times New Roman" w:eastAsia="仿宋_GB2312" w:cs="Times New Roman"/>
          <w:kern w:val="2"/>
          <w:sz w:val="32"/>
          <w:szCs w:val="32"/>
          <w:lang w:val="en-US" w:eastAsia="zh-CN" w:bidi="ar-SA"/>
        </w:rPr>
        <w:t>4</w:t>
      </w:r>
      <w:r>
        <w:rPr>
          <w:rFonts w:hint="default" w:ascii="Times New Roman" w:hAnsi="Times New Roman" w:eastAsia="仿宋_GB2312" w:cs="Times New Roman"/>
          <w:kern w:val="2"/>
          <w:sz w:val="32"/>
          <w:szCs w:val="32"/>
          <w:lang w:val="en-US" w:eastAsia="zh-CN" w:bidi="ar-SA"/>
        </w:rPr>
        <w:t>名</w:t>
      </w:r>
      <w:r>
        <w:rPr>
          <w:rFonts w:hint="eastAsia" w:ascii="Times New Roman" w:hAnsi="Times New Roman" w:eastAsia="仿宋_GB2312" w:cs="Times New Roman"/>
          <w:kern w:val="2"/>
          <w:sz w:val="32"/>
          <w:szCs w:val="32"/>
          <w:lang w:val="en-US" w:eastAsia="zh-CN" w:bidi="ar-SA"/>
        </w:rPr>
        <w:t>。</w:t>
      </w:r>
    </w:p>
    <w:p>
      <w:pPr>
        <w:ind w:left="640" w:leftChars="305" w:firstLine="160" w:firstLineChars="50"/>
        <w:jc w:val="left"/>
        <w:rPr>
          <w:rFonts w:hint="eastAsia" w:ascii="仿宋_GB2312" w:eastAsia="仿宋_GB2312" w:cs="仿宋_GB2312"/>
          <w:sz w:val="32"/>
          <w:szCs w:val="32"/>
        </w:rPr>
      </w:pPr>
    </w:p>
    <w:p>
      <w:pPr>
        <w:ind w:firstLine="640" w:firstLineChars="200"/>
        <w:rPr>
          <w:rFonts w:ascii="黑体" w:hAnsi="黑体" w:eastAsia="黑体"/>
          <w:sz w:val="32"/>
          <w:szCs w:val="32"/>
        </w:rPr>
      </w:pPr>
      <w:r>
        <w:rPr>
          <w:rFonts w:hint="eastAsia" w:ascii="黑体" w:hAnsi="黑体" w:eastAsia="黑体"/>
          <w:sz w:val="32"/>
          <w:szCs w:val="32"/>
        </w:rPr>
        <w:t>第二部分</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（此部分内容即为部门或单位预算公开表）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第三部分</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sz w:val="32"/>
          <w:szCs w:val="32"/>
        </w:rPr>
        <w:t>年财政拨款收支预算情况的总体说明</w:t>
      </w:r>
    </w:p>
    <w:p>
      <w:pPr>
        <w:ind w:firstLine="640" w:firstLineChars="200"/>
        <w:jc w:val="left"/>
        <w:rPr>
          <w:rFonts w:ascii="仿宋_GB2312" w:hAnsi="黑体" w:eastAsia="仿宋_GB2312"/>
          <w:sz w:val="32"/>
          <w:szCs w:val="32"/>
        </w:rPr>
      </w:pPr>
      <w:r>
        <w:rPr>
          <w:rFonts w:hint="eastAsia" w:ascii="仿宋_GB2312" w:hAnsi="黑体" w:eastAsia="仿宋_GB2312" w:cs="仿宋_GB2312"/>
          <w:sz w:val="32"/>
          <w:szCs w:val="32"/>
          <w:lang w:eastAsia="zh-CN"/>
        </w:rPr>
        <w:t>三亚市药品不良反应监测中心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年财政拨款收支总预算</w:t>
      </w:r>
      <w:r>
        <w:rPr>
          <w:rFonts w:hint="eastAsia" w:ascii="仿宋_GB2312" w:hAnsi="黑体" w:eastAsia="仿宋_GB2312" w:cs="仿宋_GB2312"/>
          <w:sz w:val="32"/>
          <w:szCs w:val="32"/>
          <w:lang w:val="en-US" w:eastAsia="zh-CN"/>
        </w:rPr>
        <w:t>89.93</w:t>
      </w:r>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89.93</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86.72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3.21</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89.93</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74.78</w:t>
      </w:r>
      <w:r>
        <w:rPr>
          <w:rFonts w:hint="eastAsia" w:ascii="仿宋_GB2312" w:hAnsi="黑体" w:eastAsia="仿宋_GB2312"/>
          <w:sz w:val="32"/>
          <w:szCs w:val="32"/>
        </w:rPr>
        <w:t>万元、外交支出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万元、国防支出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lang w:val="en-US" w:eastAsia="zh-CN"/>
        </w:rPr>
        <w:t>5.11万元、卫生健康支出6.04万元、住房保障支出3.99万元、</w:t>
      </w:r>
      <w:r>
        <w:rPr>
          <w:rFonts w:hint="eastAsia" w:ascii="仿宋_GB2312" w:hAnsi="黑体" w:eastAsia="仿宋_GB2312"/>
          <w:sz w:val="32"/>
          <w:szCs w:val="32"/>
        </w:rPr>
        <w:t>结转下年</w:t>
      </w:r>
      <w:r>
        <w:rPr>
          <w:rFonts w:hint="eastAsia" w:ascii="仿宋_GB2312" w:hAnsi="黑体" w:eastAsia="仿宋_GB2312"/>
          <w:sz w:val="32"/>
          <w:szCs w:val="32"/>
          <w:lang w:val="en-US" w:eastAsia="zh-CN"/>
        </w:rPr>
        <w:t>0</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cs="黑体"/>
          <w:sz w:val="32"/>
          <w:szCs w:val="32"/>
          <w:lang w:eastAsia="zh-CN"/>
        </w:rPr>
        <w:t>三亚市药品不良反应监测中心</w:t>
      </w:r>
      <w:r>
        <w:rPr>
          <w:rFonts w:hint="eastAsia" w:ascii="黑体" w:hAnsi="黑体" w:eastAsia="黑体" w:cs="黑体"/>
          <w:sz w:val="32"/>
          <w:szCs w:val="32"/>
          <w:lang w:val="en-US" w:eastAsia="zh-CN"/>
        </w:rPr>
        <w:t>2022</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86.72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0.0.18</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项目经费减少。</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74.78</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83.15</w:t>
      </w:r>
      <w:r>
        <w:rPr>
          <w:rFonts w:hint="eastAsia" w:ascii="仿宋_GB2312" w:hAnsi="黑体" w:eastAsia="仿宋_GB2312"/>
          <w:sz w:val="32"/>
          <w:szCs w:val="32"/>
        </w:rPr>
        <w:t>%；</w:t>
      </w:r>
      <w:r>
        <w:rPr>
          <w:rFonts w:hint="eastAsia" w:ascii="仿宋_GB2312" w:hAnsi="黑体" w:eastAsia="仿宋_GB2312"/>
          <w:sz w:val="32"/>
          <w:szCs w:val="32"/>
          <w:lang w:eastAsia="zh-CN"/>
        </w:rPr>
        <w:t>社会保障和就业</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5.11</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5.68</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6.04</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6.72</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（类）</w:t>
      </w:r>
      <w:r>
        <w:rPr>
          <w:rFonts w:hint="eastAsia" w:ascii="仿宋_GB2312" w:hAnsi="黑体" w:eastAsia="仿宋_GB2312" w:cs="仿宋_GB2312"/>
          <w:sz w:val="32"/>
          <w:szCs w:val="32"/>
        </w:rPr>
        <w:t>支出</w:t>
      </w:r>
      <w:r>
        <w:rPr>
          <w:rFonts w:hint="eastAsia" w:ascii="仿宋_GB2312" w:hAnsi="黑体" w:eastAsia="仿宋_GB2312" w:cs="仿宋_GB2312"/>
          <w:sz w:val="32"/>
          <w:szCs w:val="32"/>
          <w:lang w:val="en-US" w:eastAsia="zh-CN"/>
        </w:rPr>
        <w:t>3.99</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4.44</w:t>
      </w:r>
      <w:r>
        <w:rPr>
          <w:rFonts w:hint="eastAsia" w:ascii="仿宋_GB2312" w:hAnsi="黑体" w:eastAsia="仿宋_GB2312"/>
          <w:sz w:val="32"/>
          <w:szCs w:val="32"/>
        </w:rPr>
        <w:t>%</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hint="eastAsia" w:ascii="仿宋_GB2312" w:hAnsi="黑体" w:eastAsia="仿宋_GB2312"/>
          <w:sz w:val="32"/>
          <w:szCs w:val="32"/>
          <w:lang w:eastAsia="zh-CN"/>
        </w:rPr>
      </w:pPr>
      <w:r>
        <w:rPr>
          <w:rFonts w:hint="eastAsia" w:ascii="仿宋_GB2312" w:hAnsi="黑体" w:eastAsia="仿宋_GB2312" w:cs="仿宋_GB2312"/>
          <w:sz w:val="32"/>
          <w:szCs w:val="32"/>
        </w:rPr>
        <w:t>1.一般公共服务（类）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食品安全监管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3.21</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减少</w:t>
      </w:r>
      <w:r>
        <w:rPr>
          <w:rFonts w:hint="eastAsia" w:ascii="仿宋_GB2312" w:hAnsi="黑体" w:eastAsia="仿宋_GB2312" w:cs="仿宋_GB2312"/>
          <w:sz w:val="32"/>
          <w:szCs w:val="32"/>
          <w:lang w:val="en-US" w:eastAsia="zh-CN"/>
        </w:rPr>
        <w:t>0.79</w:t>
      </w:r>
      <w:r>
        <w:rPr>
          <w:rFonts w:hint="eastAsia" w:ascii="仿宋_GB2312" w:hAnsi="黑体" w:eastAsia="仿宋_GB2312"/>
          <w:sz w:val="32"/>
          <w:szCs w:val="32"/>
        </w:rPr>
        <w:t>万元，主要是主要是</w:t>
      </w:r>
      <w:r>
        <w:rPr>
          <w:rFonts w:hint="eastAsia" w:ascii="仿宋_GB2312" w:hAnsi="黑体" w:eastAsia="仿宋_GB2312"/>
          <w:sz w:val="32"/>
          <w:szCs w:val="32"/>
          <w:lang w:eastAsia="zh-CN"/>
        </w:rPr>
        <w:t>项目经费减少。</w:t>
      </w:r>
    </w:p>
    <w:p>
      <w:pPr>
        <w:ind w:firstLine="640" w:firstLineChars="200"/>
        <w:rPr>
          <w:rFonts w:hint="eastAsia" w:ascii="仿宋_GB2312" w:hAnsi="黑体" w:eastAsia="仿宋_GB2312"/>
          <w:sz w:val="32"/>
          <w:szCs w:val="32"/>
          <w:lang w:eastAsia="zh-CN"/>
        </w:rPr>
      </w:pPr>
      <w:r>
        <w:rPr>
          <w:rFonts w:hint="eastAsia" w:ascii="仿宋_GB2312" w:hAnsi="黑体" w:eastAsia="仿宋_GB2312"/>
          <w:sz w:val="32"/>
          <w:szCs w:val="32"/>
          <w:lang w:val="en-US" w:eastAsia="zh-CN"/>
        </w:rPr>
        <w:t>2、</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药品事务</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14</w:t>
      </w:r>
      <w:r>
        <w:rPr>
          <w:rFonts w:hint="eastAsia" w:ascii="仿宋_GB2312" w:hAnsi="黑体" w:eastAsia="仿宋_GB2312"/>
          <w:sz w:val="32"/>
          <w:szCs w:val="32"/>
        </w:rPr>
        <w:t>万元，比上年预算数</w:t>
      </w:r>
      <w:r>
        <w:rPr>
          <w:rFonts w:hint="eastAsia" w:ascii="仿宋_GB2312" w:hAnsi="黑体" w:eastAsia="仿宋_GB2312"/>
          <w:sz w:val="32"/>
          <w:szCs w:val="32"/>
          <w:lang w:eastAsia="zh-CN"/>
        </w:rPr>
        <w:t>增加</w:t>
      </w:r>
      <w:r>
        <w:rPr>
          <w:rFonts w:hint="eastAsia" w:ascii="仿宋_GB2312" w:hAnsi="黑体" w:eastAsia="仿宋_GB2312"/>
          <w:sz w:val="32"/>
          <w:szCs w:val="32"/>
          <w:lang w:val="en-US" w:eastAsia="zh-CN"/>
        </w:rPr>
        <w:t>14</w:t>
      </w:r>
      <w:r>
        <w:rPr>
          <w:rFonts w:hint="eastAsia" w:ascii="仿宋_GB2312" w:hAnsi="黑体" w:eastAsia="仿宋_GB2312"/>
          <w:sz w:val="32"/>
          <w:szCs w:val="32"/>
        </w:rPr>
        <w:t>万元</w:t>
      </w:r>
      <w:r>
        <w:rPr>
          <w:rFonts w:hint="eastAsia" w:ascii="仿宋_GB2312" w:hAnsi="黑体" w:eastAsia="仿宋_GB2312"/>
          <w:sz w:val="32"/>
          <w:szCs w:val="32"/>
          <w:lang w:eastAsia="zh-CN"/>
        </w:rPr>
        <w:t>，主要是预算经费结果调整。</w:t>
      </w:r>
    </w:p>
    <w:p>
      <w:pPr>
        <w:ind w:firstLine="640" w:firstLineChars="200"/>
        <w:rPr>
          <w:rFonts w:hint="eastAsia" w:ascii="仿宋_GB2312" w:hAnsi="黑体" w:eastAsia="仿宋_GB2312"/>
          <w:sz w:val="32"/>
          <w:szCs w:val="32"/>
          <w:lang w:val="en-US" w:eastAsia="zh-CN"/>
        </w:rPr>
      </w:pPr>
    </w:p>
    <w:p>
      <w:pPr>
        <w:ind w:firstLine="640" w:firstLineChars="200"/>
        <w:rPr>
          <w:rFonts w:ascii="仿宋_GB2312" w:hAnsi="黑体" w:eastAsia="仿宋_GB2312"/>
          <w:sz w:val="32"/>
          <w:szCs w:val="32"/>
        </w:rPr>
      </w:pPr>
      <w:r>
        <w:rPr>
          <w:rFonts w:hint="eastAsia" w:ascii="仿宋_GB2312" w:hAnsi="黑体" w:eastAsia="仿宋_GB2312"/>
          <w:sz w:val="32"/>
          <w:szCs w:val="32"/>
          <w:lang w:val="en-US" w:eastAsia="zh-CN"/>
        </w:rPr>
        <w:t>3</w:t>
      </w:r>
      <w:r>
        <w:rPr>
          <w:rFonts w:hint="eastAsia" w:ascii="仿宋_GB2312" w:hAnsi="黑体" w:eastAsia="仿宋_GB2312"/>
          <w:sz w:val="32"/>
          <w:szCs w:val="32"/>
        </w:rPr>
        <w:t>.</w:t>
      </w:r>
      <w:r>
        <w:rPr>
          <w:rFonts w:hint="eastAsia" w:ascii="仿宋_GB2312" w:hAnsi="黑体" w:eastAsia="仿宋_GB2312" w:cs="仿宋_GB2312"/>
          <w:sz w:val="32"/>
          <w:szCs w:val="32"/>
        </w:rPr>
        <w:t>一般公共服务（类）</w:t>
      </w:r>
      <w:r>
        <w:rPr>
          <w:rFonts w:hint="eastAsia" w:ascii="仿宋_GB2312" w:hAnsi="黑体" w:eastAsia="仿宋_GB2312" w:cs="仿宋_GB2312"/>
          <w:sz w:val="32"/>
          <w:szCs w:val="32"/>
          <w:lang w:eastAsia="zh-CN"/>
        </w:rPr>
        <w:t>市场监督管理事务</w:t>
      </w:r>
      <w:r>
        <w:rPr>
          <w:rFonts w:hint="eastAsia" w:ascii="仿宋_GB2312" w:hAnsi="黑体" w:eastAsia="仿宋_GB2312" w:cs="仿宋_GB2312"/>
          <w:sz w:val="32"/>
          <w:szCs w:val="32"/>
        </w:rPr>
        <w:t>（款）</w:t>
      </w:r>
      <w:r>
        <w:rPr>
          <w:rFonts w:hint="eastAsia" w:ascii="仿宋_GB2312" w:hAnsi="黑体" w:eastAsia="仿宋_GB2312" w:cs="仿宋_GB2312"/>
          <w:sz w:val="32"/>
          <w:szCs w:val="32"/>
          <w:lang w:eastAsia="zh-CN"/>
        </w:rPr>
        <w:t>事业运行</w:t>
      </w:r>
      <w:r>
        <w:rPr>
          <w:rFonts w:hint="eastAsia" w:ascii="仿宋_GB2312" w:hAnsi="黑体" w:eastAsia="仿宋_GB2312" w:cs="仿宋_GB2312"/>
          <w:sz w:val="32"/>
          <w:szCs w:val="32"/>
        </w:rPr>
        <w:t>（项）</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57.57</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10.04</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预算经费结果调整。</w:t>
      </w:r>
    </w:p>
    <w:p>
      <w:pPr>
        <w:numPr>
          <w:ilvl w:val="-1"/>
          <w:numId w:val="0"/>
        </w:numPr>
        <w:ind w:firstLine="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4.社会保障和就业（类）行政事业单位养老（款）机关事业单位基本养老保险缴费（项）2022年预算数为5.11万元，与上年预算数持平。</w:t>
      </w:r>
    </w:p>
    <w:p>
      <w:pPr>
        <w:numPr>
          <w:ilvl w:val="-1"/>
          <w:numId w:val="0"/>
        </w:numPr>
        <w:ind w:firstLine="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5.卫生健康（类）行政事业单位医疗（款）事业单位医疗（类）2022年预算数为2.72万元，与上年预算数持平。</w:t>
      </w:r>
    </w:p>
    <w:p>
      <w:pPr>
        <w:numPr>
          <w:ilvl w:val="-1"/>
          <w:numId w:val="0"/>
        </w:numPr>
        <w:ind w:firstLine="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6.卫生健康（类）行政事业单位医疗（款）公务员医疗补助（类）2022年预算数为3.33万元万元，与上年预算数持平。</w:t>
      </w:r>
    </w:p>
    <w:p>
      <w:pPr>
        <w:numPr>
          <w:ilvl w:val="-1"/>
          <w:numId w:val="0"/>
        </w:numPr>
        <w:ind w:firstLine="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7.住房保障支出（类）住房改革支出（款）住房公积金（项）2022年预算数为3.99万元，与上年数持平。</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年一般公共预算基本支出为</w:t>
      </w:r>
      <w:r>
        <w:rPr>
          <w:rFonts w:hint="eastAsia" w:ascii="仿宋_GB2312" w:hAnsi="黑体" w:eastAsia="仿宋_GB2312" w:cs="仿宋_GB2312"/>
          <w:sz w:val="32"/>
          <w:szCs w:val="32"/>
          <w:lang w:val="en-US" w:eastAsia="zh-CN"/>
        </w:rPr>
        <w:t>72.72</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cs="仿宋_GB2312"/>
          <w:sz w:val="32"/>
          <w:szCs w:val="32"/>
          <w:lang w:val="en-US" w:eastAsia="zh-CN"/>
        </w:rPr>
        <w:t>66.41</w:t>
      </w:r>
      <w:r>
        <w:rPr>
          <w:rFonts w:hint="eastAsia" w:ascii="仿宋_GB2312" w:hAnsi="黑体" w:eastAsia="仿宋_GB2312"/>
          <w:sz w:val="32"/>
          <w:szCs w:val="32"/>
        </w:rPr>
        <w:t>万元，主要包括：基本工资、津贴补贴、奖金、社会保障缴费、</w:t>
      </w:r>
      <w:r>
        <w:rPr>
          <w:rFonts w:hint="eastAsia" w:ascii="仿宋_GB2312" w:hAnsi="黑体" w:eastAsia="仿宋_GB2312"/>
          <w:sz w:val="32"/>
          <w:szCs w:val="32"/>
          <w:lang w:eastAsia="zh-CN"/>
        </w:rPr>
        <w:t>住房公积金等。</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6.31</w:t>
      </w:r>
      <w:r>
        <w:rPr>
          <w:rFonts w:hint="eastAsia" w:ascii="仿宋_GB2312" w:hAnsi="黑体" w:eastAsia="仿宋_GB2312"/>
          <w:sz w:val="32"/>
          <w:szCs w:val="32"/>
        </w:rPr>
        <w:t>万元，主要包括：办公费、咨询费、手续费、水费、电费。</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w:t>
      </w: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1.78</w:t>
      </w:r>
      <w:r>
        <w:rPr>
          <w:rFonts w:hint="eastAsia" w:ascii="仿宋_GB2312" w:hAnsi="黑体" w:eastAsia="仿宋_GB2312"/>
          <w:sz w:val="32"/>
          <w:szCs w:val="32"/>
        </w:rPr>
        <w:t>万元，其中：</w:t>
      </w:r>
    </w:p>
    <w:p>
      <w:pPr>
        <w:ind w:firstLine="630"/>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1.65</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0.13</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（二）</w:t>
      </w: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p>
    <w:p>
      <w:pPr>
        <w:rPr>
          <w:rFonts w:ascii="Times New Roman" w:hAnsi="Times New Roman" w:eastAsia="仿宋_GB2312" w:cs="Times New Roman"/>
          <w:sz w:val="32"/>
          <w:shd w:val="clear" w:color="auto" w:fill="FFFFFF"/>
        </w:rPr>
      </w:pPr>
      <w:r>
        <w:rPr>
          <w:rFonts w:ascii="Times New Roman" w:hAnsi="Times New Roman" w:eastAsia="仿宋_GB2312" w:cs="Times New Roman"/>
          <w:sz w:val="32"/>
          <w:shd w:val="clear" w:color="auto" w:fill="FFFFFF"/>
        </w:rPr>
        <w:t xml:space="preserve">    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lang w:eastAsia="zh-CN"/>
        </w:rPr>
        <w:t>无</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w:t>
      </w:r>
      <w:r>
        <w:rPr>
          <w:rFonts w:hint="eastAsia" w:ascii="仿宋_GB2312" w:hAnsi="黑体" w:eastAsia="仿宋_GB2312" w:cs="仿宋_GB2312"/>
          <w:sz w:val="32"/>
          <w:szCs w:val="32"/>
          <w:lang w:eastAsia="zh-CN"/>
        </w:rPr>
        <w:t>三亚市药品不良反应监测中心</w:t>
      </w:r>
      <w:r>
        <w:rPr>
          <w:rFonts w:hint="eastAsia" w:ascii="仿宋_GB2312" w:hAnsi="黑体" w:eastAsia="仿宋_GB2312" w:cs="仿宋_GB2312"/>
          <w:sz w:val="32"/>
          <w:szCs w:val="32"/>
        </w:rPr>
        <w:t>所有收入和支出均纳入部门预算管理。收入包括：一般公共预算收入、政府性基金收入、其他财政资金收入、事业收入</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住房保障支出</w:t>
      </w:r>
      <w:r>
        <w:rPr>
          <w:rFonts w:hint="eastAsia" w:ascii="仿宋_GB2312" w:hAnsi="黑体" w:eastAsia="仿宋_GB2312"/>
          <w:sz w:val="32"/>
          <w:szCs w:val="32"/>
        </w:rPr>
        <w:t>。</w:t>
      </w:r>
      <w:r>
        <w:rPr>
          <w:rFonts w:hint="eastAsia" w:ascii="仿宋_GB2312" w:hAnsi="黑体" w:eastAsia="仿宋_GB2312" w:cs="仿宋_GB2312"/>
          <w:sz w:val="32"/>
          <w:szCs w:val="32"/>
          <w:lang w:eastAsia="zh-CN"/>
        </w:rPr>
        <w:t>三亚市药品不良反应监测中心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89.93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hint="eastAsia" w:ascii="黑体" w:hAnsi="黑体" w:eastAsia="黑体" w:cs="黑体"/>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三亚市药品不良反应监测中心</w:t>
      </w: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89.93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3.21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3.57</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86.72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96.43</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3.03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上年结转增加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三亚市药品不良反应监测中心</w:t>
      </w:r>
      <w:r>
        <w:rPr>
          <w:rFonts w:hint="eastAsia" w:ascii="黑体" w:hAnsi="黑体" w:eastAsia="黑体"/>
          <w:sz w:val="32"/>
          <w:szCs w:val="32"/>
          <w:lang w:val="en-US" w:eastAsia="zh-CN"/>
        </w:rPr>
        <w:t>2022</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89.93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72.72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80.86</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17.21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19.14</w:t>
      </w:r>
      <w:r>
        <w:rPr>
          <w:rFonts w:hint="eastAsia" w:ascii="仿宋_GB2312" w:hAnsi="黑体" w:eastAsia="仿宋_GB2312"/>
          <w:sz w:val="32"/>
          <w:szCs w:val="32"/>
        </w:rPr>
        <w:t>%。比上年预算数</w:t>
      </w:r>
      <w:r>
        <w:rPr>
          <w:rFonts w:hint="eastAsia" w:ascii="仿宋_GB2312" w:hAnsi="黑体" w:eastAsia="仿宋_GB2312" w:cs="仿宋_GB2312"/>
          <w:sz w:val="32"/>
          <w:szCs w:val="32"/>
          <w:lang w:eastAsia="zh-CN"/>
        </w:rPr>
        <w:t>增加</w:t>
      </w:r>
      <w:r>
        <w:rPr>
          <w:rFonts w:hint="eastAsia" w:ascii="仿宋_GB2312" w:hAnsi="黑体" w:eastAsia="仿宋_GB2312" w:cs="仿宋_GB2312"/>
          <w:sz w:val="32"/>
          <w:szCs w:val="32"/>
          <w:lang w:val="en-US" w:eastAsia="zh-CN"/>
        </w:rPr>
        <w:t>3.03</w:t>
      </w:r>
      <w:r>
        <w:rPr>
          <w:rFonts w:hint="eastAsia" w:ascii="仿宋_GB2312" w:hAnsi="黑体" w:eastAsia="仿宋_GB2312"/>
          <w:sz w:val="32"/>
          <w:szCs w:val="32"/>
        </w:rPr>
        <w:t>万元，主要是</w:t>
      </w:r>
      <w:r>
        <w:rPr>
          <w:rFonts w:hint="eastAsia" w:ascii="仿宋_GB2312" w:hAnsi="黑体" w:eastAsia="仿宋_GB2312"/>
          <w:sz w:val="32"/>
          <w:szCs w:val="32"/>
          <w:lang w:eastAsia="zh-CN"/>
        </w:rPr>
        <w:t>基本支出增加</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hint="eastAsia"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楷体" w:hAnsi="楷体" w:eastAsia="楷体"/>
          <w:sz w:val="32"/>
          <w:szCs w:val="32"/>
          <w:lang w:eastAsia="zh-CN"/>
        </w:rPr>
        <w:t>无。</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2022</w:t>
      </w:r>
      <w:r>
        <w:rPr>
          <w:rFonts w:hint="eastAsia" w:ascii="仿宋_GB2312" w:hAnsi="黑体" w:eastAsia="仿宋_GB2312" w:cs="仿宋_GB2312"/>
          <w:sz w:val="32"/>
          <w:szCs w:val="32"/>
        </w:rPr>
        <w:t>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年12月31日，</w:t>
      </w:r>
      <w:r>
        <w:rPr>
          <w:rFonts w:hint="eastAsia" w:ascii="仿宋_GB2312" w:hAnsi="黑体" w:eastAsia="仿宋_GB2312"/>
          <w:sz w:val="32"/>
          <w:szCs w:val="32"/>
          <w:lang w:eastAsia="zh-CN"/>
        </w:rPr>
        <w:t>三亚市药品不良反应监测中心</w:t>
      </w:r>
      <w:r>
        <w:rPr>
          <w:rFonts w:hint="eastAsia" w:ascii="仿宋_GB2312" w:hAnsi="黑体" w:eastAsia="仿宋_GB2312" w:cs="仿宋_GB2312"/>
          <w:sz w:val="32"/>
          <w:szCs w:val="32"/>
        </w:rPr>
        <w:t>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2022</w:t>
      </w:r>
      <w:r>
        <w:rPr>
          <w:rFonts w:hint="eastAsia" w:ascii="仿宋_GB2312" w:hAnsi="黑体" w:eastAsia="仿宋_GB2312"/>
          <w:sz w:val="32"/>
          <w:szCs w:val="32"/>
        </w:rPr>
        <w:t>年</w:t>
      </w:r>
      <w:r>
        <w:rPr>
          <w:rFonts w:hint="eastAsia" w:ascii="仿宋_GB2312" w:hAnsi="黑体" w:eastAsia="仿宋_GB2312"/>
          <w:sz w:val="32"/>
          <w:szCs w:val="32"/>
          <w:lang w:eastAsia="zh-CN"/>
        </w:rPr>
        <w:t>三亚市药品不良反应监测中心</w:t>
      </w:r>
      <w:r>
        <w:rPr>
          <w:rFonts w:hint="eastAsia" w:ascii="仿宋_GB2312" w:hAnsi="黑体" w:eastAsia="仿宋_GB2312"/>
          <w:sz w:val="32"/>
          <w:szCs w:val="32"/>
          <w:lang w:val="en-US" w:eastAsia="zh-CN"/>
        </w:rPr>
        <w:t>1</w:t>
      </w:r>
      <w:r>
        <w:rPr>
          <w:rFonts w:hint="eastAsia" w:ascii="仿宋_GB2312" w:hAnsi="黑体" w:eastAsia="仿宋_GB2312" w:cs="仿宋_GB2312"/>
          <w:sz w:val="32"/>
          <w:szCs w:val="32"/>
        </w:rPr>
        <w:t>个项目实行绩效目标管理，涉及一般公共预算</w:t>
      </w:r>
      <w:r>
        <w:rPr>
          <w:rFonts w:hint="eastAsia" w:ascii="仿宋_GB2312" w:hAnsi="黑体" w:eastAsia="仿宋_GB2312" w:cs="仿宋_GB2312"/>
          <w:sz w:val="32"/>
          <w:szCs w:val="32"/>
          <w:lang w:val="en-US" w:eastAsia="zh-CN"/>
        </w:rPr>
        <w:t>10</w:t>
      </w:r>
      <w:r>
        <w:rPr>
          <w:rFonts w:hint="eastAsia" w:ascii="仿宋_GB2312" w:hAnsi="黑体" w:eastAsia="仿宋_GB2312"/>
          <w:sz w:val="32"/>
          <w:szCs w:val="32"/>
        </w:rPr>
        <w:t>万元、政府性基金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A0000287" w:usb1="28CF3C52" w:usb2="00000016" w:usb3="00000000" w:csb0="0004001F" w:csb1="00000000"/>
  </w:font>
  <w:font w:name="Nimbus Roman No9 L">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832B87"/>
    <w:multiLevelType w:val="multilevel"/>
    <w:tmpl w:val="05832B87"/>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36023204"/>
    <w:multiLevelType w:val="multilevel"/>
    <w:tmpl w:val="36023204"/>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4C9A6287"/>
    <w:multiLevelType w:val="multilevel"/>
    <w:tmpl w:val="4C9A6287"/>
    <w:lvl w:ilvl="0" w:tentative="0">
      <w:start w:val="1"/>
      <w:numFmt w:val="japaneseCounting"/>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5A611727"/>
    <w:multiLevelType w:val="multilevel"/>
    <w:tmpl w:val="5A611727"/>
    <w:lvl w:ilvl="0" w:tentative="0">
      <w:start w:val="1"/>
      <w:numFmt w:val="japaneseCounting"/>
      <w:lvlText w:val="%1、"/>
      <w:lvlJc w:val="left"/>
      <w:pPr>
        <w:ind w:left="720" w:hanging="720"/>
      </w:pPr>
      <w:rPr>
        <w:rFonts w:hint="default" w:ascii="仿宋_GB2312" w:hAnsi="仿宋_GB2312" w:eastAsia="仿宋_GB2312" w:cs="仿宋_GB2312"/>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0D57A06"/>
    <w:multiLevelType w:val="multilevel"/>
    <w:tmpl w:val="70D57A06"/>
    <w:lvl w:ilvl="0" w:tentative="0">
      <w:start w:val="1"/>
      <w:numFmt w:val="chineseCountingThousand"/>
      <w:lvlText w:val="第%1部分"/>
      <w:lvlJc w:val="left"/>
      <w:pPr>
        <w:ind w:left="1320" w:hanging="1320"/>
      </w:pPr>
      <w:rPr>
        <w:rFonts w:hint="eastAsia" w:ascii="黑体" w:hAnsi="黑体" w:eastAsia="黑体" w:cs="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true"/>
  <w:bordersDoNotSurroundFooter w:val="true"/>
  <w:trackRevisions w:val="true"/>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007555E"/>
    <w:rsid w:val="008A046C"/>
    <w:rsid w:val="009C2F1E"/>
    <w:rsid w:val="00A062DB"/>
    <w:rsid w:val="00BD583B"/>
    <w:rsid w:val="01AF6FCB"/>
    <w:rsid w:val="028355AE"/>
    <w:rsid w:val="02F47881"/>
    <w:rsid w:val="03261AC9"/>
    <w:rsid w:val="04DB774D"/>
    <w:rsid w:val="04DE4A9B"/>
    <w:rsid w:val="04FA4E20"/>
    <w:rsid w:val="05761A24"/>
    <w:rsid w:val="057B6CB3"/>
    <w:rsid w:val="058A3AD4"/>
    <w:rsid w:val="05C907A1"/>
    <w:rsid w:val="06641AEB"/>
    <w:rsid w:val="06AB0FA4"/>
    <w:rsid w:val="074A22ED"/>
    <w:rsid w:val="08F62308"/>
    <w:rsid w:val="0933791E"/>
    <w:rsid w:val="0B7B2A49"/>
    <w:rsid w:val="0BD91501"/>
    <w:rsid w:val="0CFC7FE2"/>
    <w:rsid w:val="0D63725C"/>
    <w:rsid w:val="0D7F5FF4"/>
    <w:rsid w:val="0D9B293F"/>
    <w:rsid w:val="0E947050"/>
    <w:rsid w:val="0EAD2F80"/>
    <w:rsid w:val="0F087A1F"/>
    <w:rsid w:val="0F610A39"/>
    <w:rsid w:val="0FB72F23"/>
    <w:rsid w:val="10293D8A"/>
    <w:rsid w:val="1096399B"/>
    <w:rsid w:val="11B65432"/>
    <w:rsid w:val="13AA2FBF"/>
    <w:rsid w:val="14C93768"/>
    <w:rsid w:val="151641D3"/>
    <w:rsid w:val="154F0893"/>
    <w:rsid w:val="156B37CA"/>
    <w:rsid w:val="158B5951"/>
    <w:rsid w:val="15C97E5E"/>
    <w:rsid w:val="163A778D"/>
    <w:rsid w:val="16784192"/>
    <w:rsid w:val="16CE16C2"/>
    <w:rsid w:val="17653C90"/>
    <w:rsid w:val="17BE4BFC"/>
    <w:rsid w:val="194C3984"/>
    <w:rsid w:val="19902129"/>
    <w:rsid w:val="19C25F53"/>
    <w:rsid w:val="1AB1601A"/>
    <w:rsid w:val="1B6B5205"/>
    <w:rsid w:val="1D020CE4"/>
    <w:rsid w:val="1D240052"/>
    <w:rsid w:val="1D47638F"/>
    <w:rsid w:val="1E325C67"/>
    <w:rsid w:val="1E732CB1"/>
    <w:rsid w:val="1EBF7CA3"/>
    <w:rsid w:val="1F5275D0"/>
    <w:rsid w:val="22DC55B2"/>
    <w:rsid w:val="24211F7C"/>
    <w:rsid w:val="247468C7"/>
    <w:rsid w:val="24B57925"/>
    <w:rsid w:val="24ED150D"/>
    <w:rsid w:val="252065CC"/>
    <w:rsid w:val="25D77283"/>
    <w:rsid w:val="2632397E"/>
    <w:rsid w:val="26ED62BB"/>
    <w:rsid w:val="271F385A"/>
    <w:rsid w:val="27D351F1"/>
    <w:rsid w:val="28FC6271"/>
    <w:rsid w:val="29566FC7"/>
    <w:rsid w:val="29D518F3"/>
    <w:rsid w:val="2A5054EB"/>
    <w:rsid w:val="2B513584"/>
    <w:rsid w:val="2C8B2726"/>
    <w:rsid w:val="2CC35222"/>
    <w:rsid w:val="2D571631"/>
    <w:rsid w:val="2DED6A39"/>
    <w:rsid w:val="2DF63E4B"/>
    <w:rsid w:val="2E3A0D76"/>
    <w:rsid w:val="2E4F3758"/>
    <w:rsid w:val="2EFD31A4"/>
    <w:rsid w:val="2F014465"/>
    <w:rsid w:val="2FA84669"/>
    <w:rsid w:val="315706DE"/>
    <w:rsid w:val="33251EE7"/>
    <w:rsid w:val="33282658"/>
    <w:rsid w:val="33934B9B"/>
    <w:rsid w:val="34E47A3E"/>
    <w:rsid w:val="3582393A"/>
    <w:rsid w:val="36566C7B"/>
    <w:rsid w:val="37147D5D"/>
    <w:rsid w:val="37B67252"/>
    <w:rsid w:val="380F33E0"/>
    <w:rsid w:val="38A0762E"/>
    <w:rsid w:val="39004D6A"/>
    <w:rsid w:val="39FE30D9"/>
    <w:rsid w:val="3A0569FF"/>
    <w:rsid w:val="3A4B3605"/>
    <w:rsid w:val="3A905261"/>
    <w:rsid w:val="3A933DE5"/>
    <w:rsid w:val="3BEC342F"/>
    <w:rsid w:val="3C2D3C1F"/>
    <w:rsid w:val="3D234098"/>
    <w:rsid w:val="3D3F3E3D"/>
    <w:rsid w:val="3D5F0373"/>
    <w:rsid w:val="3D6F11D8"/>
    <w:rsid w:val="3DB355D9"/>
    <w:rsid w:val="3DD91485"/>
    <w:rsid w:val="3E8F5501"/>
    <w:rsid w:val="3F55444E"/>
    <w:rsid w:val="3FC10F8F"/>
    <w:rsid w:val="3FD27C84"/>
    <w:rsid w:val="40AB5217"/>
    <w:rsid w:val="41254F4E"/>
    <w:rsid w:val="413C2BCE"/>
    <w:rsid w:val="42B4458C"/>
    <w:rsid w:val="43090DC9"/>
    <w:rsid w:val="43B752C0"/>
    <w:rsid w:val="446E05C2"/>
    <w:rsid w:val="44D71114"/>
    <w:rsid w:val="456C359F"/>
    <w:rsid w:val="45BC3C8D"/>
    <w:rsid w:val="45ED50B4"/>
    <w:rsid w:val="46D3314C"/>
    <w:rsid w:val="47BF49B9"/>
    <w:rsid w:val="48633366"/>
    <w:rsid w:val="490624D7"/>
    <w:rsid w:val="4AA6503B"/>
    <w:rsid w:val="4BAB3DCD"/>
    <w:rsid w:val="4BAD5B5B"/>
    <w:rsid w:val="4C2E4AC4"/>
    <w:rsid w:val="4C4C4C23"/>
    <w:rsid w:val="4C644F59"/>
    <w:rsid w:val="4DC53C2C"/>
    <w:rsid w:val="4E6517E7"/>
    <w:rsid w:val="4E6B054E"/>
    <w:rsid w:val="4EE73B5E"/>
    <w:rsid w:val="4F922AB3"/>
    <w:rsid w:val="51AA2CAF"/>
    <w:rsid w:val="54CA5A13"/>
    <w:rsid w:val="54CB69F8"/>
    <w:rsid w:val="54FD064C"/>
    <w:rsid w:val="55106196"/>
    <w:rsid w:val="558C30A4"/>
    <w:rsid w:val="56B54D8C"/>
    <w:rsid w:val="57C439DF"/>
    <w:rsid w:val="58BD0975"/>
    <w:rsid w:val="59407FA1"/>
    <w:rsid w:val="5992569C"/>
    <w:rsid w:val="5C0778C1"/>
    <w:rsid w:val="5C7D6AFD"/>
    <w:rsid w:val="5CF406E8"/>
    <w:rsid w:val="5D1B6566"/>
    <w:rsid w:val="5F201DF3"/>
    <w:rsid w:val="5F517779"/>
    <w:rsid w:val="60B926F4"/>
    <w:rsid w:val="60EF0756"/>
    <w:rsid w:val="62D731A2"/>
    <w:rsid w:val="62F61682"/>
    <w:rsid w:val="62FA033D"/>
    <w:rsid w:val="649A6A0C"/>
    <w:rsid w:val="64B725BB"/>
    <w:rsid w:val="64D15B69"/>
    <w:rsid w:val="64EC058F"/>
    <w:rsid w:val="66273856"/>
    <w:rsid w:val="669D1C51"/>
    <w:rsid w:val="66FC7F0B"/>
    <w:rsid w:val="68AF253A"/>
    <w:rsid w:val="6A6755A1"/>
    <w:rsid w:val="6AB514E2"/>
    <w:rsid w:val="6C215B2D"/>
    <w:rsid w:val="6D77DCF1"/>
    <w:rsid w:val="6E867A28"/>
    <w:rsid w:val="6EBB34A1"/>
    <w:rsid w:val="70DA5DBB"/>
    <w:rsid w:val="70E97FA3"/>
    <w:rsid w:val="713B7380"/>
    <w:rsid w:val="715F628D"/>
    <w:rsid w:val="718C46CA"/>
    <w:rsid w:val="728C2619"/>
    <w:rsid w:val="732E58E3"/>
    <w:rsid w:val="74554320"/>
    <w:rsid w:val="746B284D"/>
    <w:rsid w:val="74A76B09"/>
    <w:rsid w:val="751C1F2B"/>
    <w:rsid w:val="75F30B38"/>
    <w:rsid w:val="762656D3"/>
    <w:rsid w:val="767C0B36"/>
    <w:rsid w:val="78201C0E"/>
    <w:rsid w:val="788868AE"/>
    <w:rsid w:val="78971642"/>
    <w:rsid w:val="789B529D"/>
    <w:rsid w:val="796B49BC"/>
    <w:rsid w:val="7B495069"/>
    <w:rsid w:val="7D732E32"/>
    <w:rsid w:val="7DC21545"/>
    <w:rsid w:val="7ED864E6"/>
    <w:rsid w:val="7F453491"/>
    <w:rsid w:val="7F7A019E"/>
    <w:rsid w:val="7F877AE0"/>
    <w:rsid w:val="7FC13FAE"/>
    <w:rsid w:val="7FD972D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qFormat="1"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5">
    <w:name w:val="Default Paragraph Font"/>
    <w:unhideWhenUsed/>
    <w:qFormat/>
    <w:uiPriority w:val="1"/>
  </w:style>
  <w:style w:type="table" w:default="1" w:styleId="4">
    <w:name w:val="Normal Table"/>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5"/>
    <w:link w:val="3"/>
    <w:semiHidden/>
    <w:qFormat/>
    <w:uiPriority w:val="99"/>
    <w:rPr>
      <w:sz w:val="18"/>
      <w:szCs w:val="18"/>
    </w:rPr>
  </w:style>
  <w:style w:type="character" w:customStyle="1" w:styleId="9">
    <w:name w:val="页脚 Char"/>
    <w:basedOn w:val="5"/>
    <w:link w:val="2"/>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TotalTime>0</TotalTime>
  <ScaleCrop>false</ScaleCrop>
  <LinksUpToDate>false</LinksUpToDate>
  <CharactersWithSpaces>0</CharactersWithSpaces>
  <Application>WPS Office_11.8.2.9864_F1E327BC-269C-435d-A152-05C5408002CA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2017-02-03T15:31:00Z</dcterms:created>
  <dc:creator>null,null,总收发</dc:creator>
  <cp:lastModifiedBy>user</cp:lastModifiedBy>
  <dcterms:modified xsi:type="dcterms:W3CDTF">2023-10-06T17:51:21Z</dcterms:modified>
  <dc:title>××年××部门（单位）预算</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2052-11.8.2.9864</vt:lpwstr>
  </property>
</Properties>
</file>