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b/>
          <w:bCs/>
          <w:sz w:val="52"/>
          <w:szCs w:val="52"/>
        </w:rPr>
      </w:pPr>
      <w:r>
        <w:rPr>
          <w:rFonts w:hint="eastAsia" w:ascii="Times New Roman" w:hAnsi="Times New Roman" w:cs="Times New Roman"/>
          <w:b/>
          <w:bCs/>
          <w:sz w:val="52"/>
          <w:szCs w:val="52"/>
          <w:lang w:val="en-US" w:eastAsia="zh-CN"/>
        </w:rPr>
        <w:t>2022年</w:t>
      </w:r>
      <w:r>
        <w:rPr>
          <w:rFonts w:hint="eastAsia" w:ascii="Times New Roman" w:hAnsi="Times New Roman" w:cs="Times New Roman"/>
          <w:b/>
          <w:bCs/>
          <w:sz w:val="52"/>
          <w:szCs w:val="52"/>
          <w:lang w:eastAsia="zh-CN"/>
        </w:rPr>
        <w:t>中共三亚市委政策研究室单位</w:t>
      </w:r>
      <w:r>
        <w:rPr>
          <w:rFonts w:hint="default" w:ascii="Times New Roman" w:hAnsi="Times New Roman" w:cs="Times New Roman"/>
          <w:b/>
          <w:bCs/>
          <w:sz w:val="52"/>
          <w:szCs w:val="52"/>
        </w:rPr>
        <w:t>预算</w:t>
      </w:r>
      <w:r>
        <w:rPr>
          <w:rFonts w:hint="default" w:ascii="Times New Roman" w:hAnsi="Times New Roman" w:cs="Times New Roman"/>
          <w:b/>
          <w:bCs/>
          <w:sz w:val="52"/>
          <w:szCs w:val="52"/>
          <w:lang w:eastAsia="zh-CN"/>
        </w:rPr>
        <w:t>公开</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default" w:ascii="Times New Roman" w:hAnsi="Times New Roman" w:eastAsia="黑体" w:cs="Times New Roman"/>
          <w:sz w:val="32"/>
          <w:szCs w:val="32"/>
        </w:rPr>
        <w:t>概况</w:t>
      </w:r>
    </w:p>
    <w:p>
      <w:pPr>
        <w:pStyle w:val="4"/>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p>
    <w:p>
      <w:pPr>
        <w:pStyle w:val="4"/>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预算</w:t>
      </w:r>
      <w:r>
        <w:rPr>
          <w:rFonts w:hint="eastAsia" w:ascii="仿宋" w:hAnsi="仿宋" w:eastAsia="仿宋" w:cs="仿宋"/>
          <w:sz w:val="32"/>
          <w:szCs w:val="32"/>
          <w:lang w:eastAsia="zh-CN"/>
        </w:rPr>
        <w:t>构成</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widowControl w:val="0"/>
        <w:numPr>
          <w:ilvl w:val="0"/>
          <w:numId w:val="3"/>
        </w:numPr>
        <w:ind w:firstLineChars="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4"/>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ind w:left="1320" w:firstLine="0" w:firstLineChars="0"/>
        <w:jc w:val="left"/>
        <w:rPr>
          <w:rFonts w:hint="default" w:ascii="Times New Roman" w:hAnsi="Times New Roman" w:eastAsia="黑体" w:cs="Times New Roman"/>
          <w:sz w:val="32"/>
          <w:szCs w:val="32"/>
        </w:rPr>
      </w:pPr>
    </w:p>
    <w:p>
      <w:pPr>
        <w:pStyle w:val="4"/>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4"/>
        <w:numPr>
          <w:ilvl w:val="0"/>
          <w:numId w:val="0"/>
        </w:numPr>
        <w:ind w:leftChars="0" w:firstLine="960" w:firstLineChars="3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一）贯彻落实党和国家、省关于政策研究、全面深化改革、建设中国特色自由贸易港工作的方针政策、法律法规，执行市委、市政府决策部署和中国特色自由贸易港政策措施，研究提出政策研究、全面深化改革和中国特色自由贸易港工作方面的意见和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（二）针对全市全面深化改革开放以及经济、政治、文化、社会、生态文明和党的建设等方面深层次问题及社会关注的热点问题进行调查研究，做好政策研究和咨询服务等工作</w:t>
      </w:r>
      <w:r>
        <w:rPr>
          <w:rFonts w:hint="eastAsia" w:ascii="Times New Roman" w:hAnsi="Times New Roman" w:eastAsia="仿宋" w:cs="Times New Roman"/>
          <w:kern w:val="0"/>
          <w:sz w:val="32"/>
          <w:szCs w:val="32"/>
          <w:lang w:val="en-US" w:eastAsia="zh-CN"/>
        </w:rPr>
        <w:t>。</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(三）负责起草、审改市委有关重要文件和市委主要领导同志日常文稿。</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（四）围绕市委重点调研课题，加强与有关部门和各类研究机构的沟通、联系、组织、协调，推动全市的调查研究工作。</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（五）围绕市委中心工作和主要领导同志关注的重点问题，收集、整理、分析国内外重要信息资讯，供市委领导参阅。</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（六）研究拟订并组织实施三亚全面深化改革和推进自由贸易港建设中长期规划、实施方案。</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（七）负责对市委深改委专项小组和市委推进自贸委专题小组（以下简称专项专题小组）和各部门开展全面深化改革以及自由贸易港建设工作的统筹、协调、督促、检查、推动。</w:t>
      </w:r>
    </w:p>
    <w:p>
      <w:pPr>
        <w:widowControl/>
        <w:numPr>
          <w:ilvl w:val="0"/>
          <w:numId w:val="5"/>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负责市委深改委和市委推进自贸委调查研究工作的部署和落实。组织开展三亚全面深化改革和自由贸易港建设重点问题的研究和咨询工作，统筹协调有关方面提出改革措施和政策建议。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（九）总结评估三亚全面深化改革和自由贸易港建设形成的经验做法，提出可复制可推广创新成果建议。</w:t>
      </w:r>
    </w:p>
    <w:p>
      <w:pPr>
        <w:widowControl/>
        <w:numPr>
          <w:ilvl w:val="0"/>
          <w:numId w:val="6"/>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审核办理有关方面向市委深改委、市委推进自贸委呈报的发展规划、实施方案、政策措施等重要请示事项；接受各区，各部门报送的备案材料，研究评估并提出建议。</w:t>
      </w:r>
    </w:p>
    <w:p>
      <w:pPr>
        <w:widowControl/>
        <w:numPr>
          <w:ilvl w:val="0"/>
          <w:numId w:val="0"/>
        </w:numPr>
        <w:spacing w:before="100" w:beforeAutospacing="1" w:after="100" w:afterAutospacing="1"/>
        <w:jc w:val="left"/>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（十一）负责与省委、省委全面深化改革委员会及其办公室的汇报和对接；综合发布市全面深化改革和自由贸易港公共信息，及时向省委深改办（自贸港工委办）报送相关信息。</w:t>
      </w:r>
    </w:p>
    <w:p>
      <w:pPr>
        <w:widowControl/>
        <w:numPr>
          <w:ilvl w:val="0"/>
          <w:numId w:val="0"/>
        </w:numPr>
        <w:spacing w:before="100" w:beforeAutospacing="1" w:after="100" w:afterAutospacing="1"/>
        <w:ind w:firstLine="640" w:firstLineChars="200"/>
        <w:jc w:val="left"/>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（十二）完成市委、市政府交办的其他工作，检查指导各区政策研究、全面深化改革、自由贸易港工作。</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二、单位</w:t>
      </w:r>
      <w:r>
        <w:rPr>
          <w:rFonts w:hint="default" w:ascii="Times New Roman" w:hAnsi="Times New Roman" w:eastAsia="黑体" w:cs="Times New Roman"/>
          <w:sz w:val="32"/>
          <w:szCs w:val="32"/>
        </w:rPr>
        <w:t>预算构成</w:t>
      </w:r>
    </w:p>
    <w:p>
      <w:pPr>
        <w:ind w:firstLine="320" w:firstLineChars="100"/>
        <w:jc w:val="left"/>
        <w:rPr>
          <w:rFonts w:ascii="??_GB2312" w:hAnsi="黑体" w:eastAsia="Times New Roman" w:cs="??_GB2312"/>
          <w:sz w:val="32"/>
          <w:szCs w:val="32"/>
        </w:rPr>
      </w:pPr>
      <w:r>
        <w:rPr>
          <w:rFonts w:ascii="??_GB2312" w:hAnsi="黑体" w:eastAsia="Times New Roman" w:cs="??_GB2312"/>
          <w:sz w:val="32"/>
          <w:szCs w:val="32"/>
        </w:rPr>
        <w:t>（一）纳入</w:t>
      </w:r>
      <w:r>
        <w:rPr>
          <w:rFonts w:hint="eastAsia" w:ascii="仿宋" w:hAnsi="仿宋" w:eastAsia="仿宋"/>
          <w:sz w:val="32"/>
          <w:szCs w:val="32"/>
        </w:rPr>
        <w:t>中共三亚市委</w:t>
      </w:r>
      <w:r>
        <w:rPr>
          <w:rFonts w:hint="eastAsia" w:ascii="仿宋" w:hAnsi="仿宋" w:eastAsia="仿宋"/>
          <w:sz w:val="32"/>
          <w:szCs w:val="32"/>
          <w:lang w:eastAsia="zh-CN"/>
        </w:rPr>
        <w:t>政策研究室</w:t>
      </w:r>
      <w:r>
        <w:rPr>
          <w:rFonts w:ascii="??_GB2312" w:hAnsi="黑体" w:eastAsia="Times New Roman" w:cs="??_GB2312"/>
          <w:sz w:val="32"/>
          <w:szCs w:val="32"/>
        </w:rPr>
        <w:t>202</w:t>
      </w:r>
      <w:r>
        <w:rPr>
          <w:rFonts w:hint="eastAsia" w:ascii="??_GB2312" w:hAnsi="黑体" w:cs="??_GB2312"/>
          <w:sz w:val="32"/>
          <w:szCs w:val="32"/>
          <w:lang w:val="en-US" w:eastAsia="zh-CN"/>
        </w:rPr>
        <w:t>2</w:t>
      </w:r>
      <w:r>
        <w:rPr>
          <w:rFonts w:ascii="??_GB2312" w:hAnsi="黑体" w:eastAsia="Times New Roman" w:cs="??_GB2312"/>
          <w:sz w:val="32"/>
          <w:szCs w:val="32"/>
        </w:rPr>
        <w:t>年职能科室包括：</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秘书科（人事科）</w:t>
      </w:r>
    </w:p>
    <w:p>
      <w:pPr>
        <w:spacing w:line="554"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经济研究科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社会发展研究科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综合研究科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改革科</w:t>
      </w:r>
    </w:p>
    <w:p>
      <w:pPr>
        <w:adjustRightInd w:val="0"/>
        <w:snapToGrid w:val="0"/>
        <w:spacing w:line="55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自贸科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eastAsia="zh-CN"/>
        </w:rPr>
        <w:t>政策研究服务中心</w:t>
      </w:r>
    </w:p>
    <w:p>
      <w:pPr>
        <w:ind w:firstLine="320" w:firstLineChars="100"/>
        <w:jc w:val="left"/>
        <w:rPr>
          <w:rFonts w:hint="eastAsia" w:ascii="仿宋" w:hAnsi="仿宋" w:eastAsia="仿宋" w:cs="仿宋"/>
          <w:sz w:val="32"/>
          <w:szCs w:val="32"/>
        </w:rPr>
      </w:pPr>
      <w:r>
        <w:rPr>
          <w:rFonts w:hint="eastAsia" w:ascii="仿宋" w:hAnsi="仿宋" w:eastAsia="仿宋" w:cs="仿宋"/>
          <w:sz w:val="32"/>
          <w:szCs w:val="32"/>
        </w:rPr>
        <w:t>（二）纳入中共三亚市委</w:t>
      </w:r>
      <w:r>
        <w:rPr>
          <w:rFonts w:hint="eastAsia" w:ascii="仿宋" w:hAnsi="仿宋" w:eastAsia="仿宋" w:cs="仿宋"/>
          <w:sz w:val="32"/>
          <w:szCs w:val="32"/>
          <w:lang w:eastAsia="zh-CN"/>
        </w:rPr>
        <w:t>政策研究室</w:t>
      </w:r>
      <w:r>
        <w:rPr>
          <w:rFonts w:hint="default"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单位</w:t>
      </w:r>
      <w:r>
        <w:rPr>
          <w:rFonts w:hint="eastAsia" w:ascii="仿宋" w:hAnsi="仿宋" w:eastAsia="仿宋" w:cs="仿宋"/>
          <w:sz w:val="32"/>
          <w:szCs w:val="32"/>
        </w:rPr>
        <w:t>预算编制范围的预算单位包括：</w:t>
      </w:r>
    </w:p>
    <w:p>
      <w:pPr>
        <w:ind w:firstLine="320" w:firstLineChars="100"/>
        <w:jc w:val="left"/>
        <w:rPr>
          <w:rFonts w:hint="eastAsia" w:ascii="仿宋" w:hAnsi="仿宋" w:eastAsia="仿宋" w:cs="仿宋"/>
          <w:sz w:val="32"/>
          <w:szCs w:val="32"/>
          <w:lang w:eastAsia="zh-CN"/>
        </w:rPr>
      </w:pPr>
      <w:r>
        <w:rPr>
          <w:rFonts w:hint="eastAsia" w:ascii="仿宋" w:hAnsi="仿宋" w:eastAsia="仿宋" w:cs="仿宋"/>
          <w:sz w:val="32"/>
          <w:szCs w:val="32"/>
        </w:rPr>
        <w:t>1.中共三亚市委</w:t>
      </w:r>
      <w:r>
        <w:rPr>
          <w:rFonts w:hint="eastAsia" w:ascii="仿宋" w:hAnsi="仿宋" w:eastAsia="仿宋" w:cs="仿宋"/>
          <w:sz w:val="32"/>
          <w:szCs w:val="32"/>
          <w:lang w:eastAsia="zh-CN"/>
        </w:rPr>
        <w:t>政策研究室（本级）</w:t>
      </w:r>
    </w:p>
    <w:p>
      <w:pPr>
        <w:ind w:firstLine="320" w:firstLineChars="1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2.三亚市政策研究服务中心（事业单位）</w:t>
      </w:r>
    </w:p>
    <w:p>
      <w:pPr>
        <w:jc w:val="both"/>
        <w:rPr>
          <w:rFonts w:hint="default" w:ascii="Times New Roman" w:hAnsi="Times New Roman" w:eastAsia="黑体" w:cs="Times New Roman"/>
          <w:sz w:val="32"/>
          <w:szCs w:val="32"/>
        </w:rPr>
      </w:pPr>
    </w:p>
    <w:p>
      <w:pPr>
        <w:numPr>
          <w:ilvl w:val="0"/>
          <w:numId w:val="7"/>
        </w:numPr>
        <w:tabs>
          <w:tab w:val="left" w:pos="1191"/>
          <w:tab w:val="center" w:pos="4933"/>
        </w:tabs>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ab/>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numPr>
          <w:ilvl w:val="0"/>
          <w:numId w:val="0"/>
        </w:numPr>
        <w:jc w:val="both"/>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928" w:firstLineChars="600"/>
        <w:jc w:val="both"/>
        <w:textAlignment w:val="auto"/>
        <w:outlineLvl w:val="9"/>
        <w:rPr>
          <w:rFonts w:hint="default" w:ascii="Times New Roman" w:hAnsi="Times New Roman" w:eastAsia="黑体" w:cs="Times New Roman"/>
          <w:sz w:val="32"/>
          <w:szCs w:val="32"/>
        </w:rPr>
      </w:pPr>
      <w:r>
        <w:rPr>
          <w:rFonts w:hint="default" w:ascii="Times New Roman" w:hAnsi="Times New Roman" w:eastAsia="仿宋_GB2312" w:cs="Times New Roman"/>
          <w:b/>
          <w:sz w:val="32"/>
          <w:szCs w:val="32"/>
        </w:rPr>
        <w:t>（此部分内容</w:t>
      </w:r>
      <w:r>
        <w:rPr>
          <w:rFonts w:hint="default" w:ascii="Times New Roman" w:hAnsi="Times New Roman" w:eastAsia="仿宋_GB2312" w:cs="Times New Roman"/>
          <w:b/>
          <w:sz w:val="32"/>
          <w:szCs w:val="32"/>
          <w:lang w:eastAsia="zh-CN"/>
        </w:rPr>
        <w:t>见</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jc w:val="center"/>
        <w:rPr>
          <w:rFonts w:hint="default" w:ascii="Times New Roman" w:hAnsi="Times New Roman" w:eastAsia="黑体" w:cs="Times New Roman"/>
          <w:sz w:val="32"/>
          <w:szCs w:val="32"/>
        </w:rPr>
      </w:pPr>
    </w:p>
    <w:p>
      <w:pPr>
        <w:numPr>
          <w:ilvl w:val="0"/>
          <w:numId w:val="7"/>
        </w:numPr>
        <w:ind w:left="0" w:leftChars="0" w:firstLine="0" w:firstLineChars="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numPr>
          <w:ilvl w:val="0"/>
          <w:numId w:val="0"/>
        </w:numPr>
        <w:ind w:leftChars="0"/>
        <w:jc w:val="both"/>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default" w:ascii="Times New Roman" w:hAnsi="Times New Roman" w:eastAsia="黑体" w:cs="Times New Roman"/>
          <w:sz w:val="32"/>
          <w:szCs w:val="32"/>
        </w:rPr>
        <w:t>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财政拨款收支总预算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；支出总计</w:t>
      </w:r>
      <w:r>
        <w:rPr>
          <w:rFonts w:hint="eastAsia" w:ascii="Times New Roman" w:hAnsi="Times New Roman" w:eastAsia="仿宋_GB2312" w:cs="Times New Roman"/>
          <w:sz w:val="32"/>
          <w:szCs w:val="32"/>
          <w:lang w:val="en-US" w:eastAsia="zh-CN"/>
        </w:rPr>
        <w:t>641.89万元，包括一般公共服务支出558.23万元，社会保障和就业支出27.35万元，卫生健康支出33.52万元，住房保障支出22.79万元。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default" w:ascii="Times New Roman" w:hAnsi="Times New Roman" w:eastAsia="黑体" w:cs="Times New Roman"/>
          <w:sz w:val="32"/>
          <w:szCs w:val="32"/>
        </w:rPr>
        <w:t>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一般公共预算当年拨款</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142.47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，主要是2021年通过调动新增干部4名，同时，工作项目增加，因此人员调入、人员经费及公用经费增加以及项目经费有所增加。</w:t>
      </w:r>
    </w:p>
    <w:p>
      <w:pPr>
        <w:ind w:firstLine="640" w:firstLineChars="200"/>
        <w:jc w:val="both"/>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558.23</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86.</w:t>
      </w:r>
      <w:r>
        <w:rPr>
          <w:rFonts w:hint="eastAsia"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27.35</w:t>
      </w:r>
      <w:r>
        <w:rPr>
          <w:rFonts w:hint="default" w:ascii="Times New Roman" w:hAnsi="Times New Roman" w:eastAsia="仿宋_GB2312" w:cs="Times New Roman"/>
          <w:sz w:val="32"/>
          <w:szCs w:val="32"/>
          <w:lang w:val="en-US" w:eastAsia="zh-CN"/>
        </w:rPr>
        <w:t>万元，占</w:t>
      </w:r>
      <w:r>
        <w:rPr>
          <w:rFonts w:hint="eastAsia" w:ascii="Times New Roman" w:hAnsi="Times New Roman" w:eastAsia="仿宋_GB2312" w:cs="Times New Roman"/>
          <w:sz w:val="32"/>
          <w:szCs w:val="32"/>
          <w:lang w:val="en-US" w:eastAsia="zh-CN"/>
        </w:rPr>
        <w:t>4.26</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33.52</w:t>
      </w:r>
      <w:r>
        <w:rPr>
          <w:rFonts w:hint="default" w:ascii="Times New Roman" w:hAnsi="Times New Roman" w:eastAsia="仿宋_GB2312" w:cs="Times New Roman"/>
          <w:sz w:val="32"/>
          <w:szCs w:val="32"/>
          <w:lang w:val="en-US" w:eastAsia="zh-CN"/>
        </w:rPr>
        <w:t>万元 ，占5.</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22.79</w:t>
      </w:r>
      <w:r>
        <w:rPr>
          <w:rFonts w:hint="default" w:ascii="Times New Roman" w:hAnsi="Times New Roman" w:eastAsia="仿宋_GB2312" w:cs="Times New Roman"/>
          <w:sz w:val="32"/>
          <w:szCs w:val="32"/>
          <w:lang w:val="en-US" w:eastAsia="zh-CN"/>
        </w:rPr>
        <w:t>万元，占3.</w:t>
      </w:r>
      <w:r>
        <w:rPr>
          <w:rFonts w:hint="eastAsia"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 一般公共服务（类）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行政运行</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298.23</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73.6</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2022年</w:t>
      </w:r>
      <w:r>
        <w:rPr>
          <w:rFonts w:hint="default" w:ascii="Times New Roman" w:hAnsi="Times New Roman" w:eastAsia="仿宋_GB2312" w:cs="Times New Roman"/>
          <w:color w:val="auto"/>
          <w:sz w:val="32"/>
          <w:szCs w:val="32"/>
          <w:lang w:val="en-US" w:eastAsia="zh-CN"/>
        </w:rPr>
        <w:t>的工作安排预算相对应增加。</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lang w:eastAsia="zh-CN"/>
        </w:rPr>
        <w:t>党委办公厅（室）及相关机构事务（</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一般行政管理事务</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260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69.72</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根据</w:t>
      </w:r>
      <w:r>
        <w:rPr>
          <w:rFonts w:hint="eastAsia" w:ascii="Times New Roman" w:hAnsi="Times New Roman" w:eastAsia="仿宋_GB2312" w:cs="Times New Roman"/>
          <w:color w:val="auto"/>
          <w:sz w:val="32"/>
          <w:szCs w:val="32"/>
          <w:lang w:val="en-US" w:eastAsia="zh-CN"/>
        </w:rPr>
        <w:t>2021年有单位有新增人员，使单位相关机构事务（款）相对增加</w:t>
      </w:r>
      <w:r>
        <w:rPr>
          <w:rFonts w:hint="default" w:ascii="Times New Roman" w:hAnsi="Times New Roman" w:eastAsia="仿宋_GB2312" w:cs="Times New Roman"/>
          <w:color w:val="auto"/>
          <w:sz w:val="32"/>
          <w:szCs w:val="32"/>
          <w:lang w:val="en-US" w:eastAsia="zh-CN"/>
        </w:rPr>
        <w:t>。</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eastAsia="zh-CN"/>
        </w:rPr>
        <w:t>社会保障和就业支出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行政事业单位养老支出（</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机关事务单位基本养老保险缴费支出</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27.35</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比上年增加</w:t>
      </w:r>
      <w:r>
        <w:rPr>
          <w:rFonts w:hint="eastAsia" w:ascii="Times New Roman" w:hAnsi="Times New Roman" w:eastAsia="仿宋_GB2312" w:cs="Times New Roman"/>
          <w:sz w:val="32"/>
          <w:szCs w:val="32"/>
          <w:highlight w:val="none"/>
          <w:lang w:val="en-US" w:eastAsia="zh-CN"/>
        </w:rPr>
        <w:t>6.05万元，主要是我单位通过调动新增干部4名，使2022年机关养老预算增加。</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卫生健康支出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行政事业单位医疗（</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行政单位医疗</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14.53</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。比上年增加</w:t>
      </w:r>
      <w:r>
        <w:rPr>
          <w:rFonts w:hint="eastAsia" w:ascii="Times New Roman" w:hAnsi="Times New Roman" w:eastAsia="仿宋_GB2312" w:cs="Times New Roman"/>
          <w:sz w:val="32"/>
          <w:szCs w:val="32"/>
          <w:highlight w:val="none"/>
          <w:lang w:val="en-US" w:eastAsia="zh-CN"/>
        </w:rPr>
        <w:t>3.22万元，主要是我单位通过调动新增干部4名，使2022年预算增加。</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卫生健康支出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行政事业单位医疗（</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公务员医疗补助</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18.99</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比上年增加3.91万元，主要是2022年单位有新增加人员。</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eastAsia="zh-CN"/>
        </w:rPr>
        <w:t>住房保障支出</w:t>
      </w:r>
      <w:r>
        <w:rPr>
          <w:rFonts w:hint="default" w:ascii="Times New Roman" w:hAnsi="Times New Roman" w:eastAsia="仿宋_GB2312" w:cs="Times New Roman"/>
          <w:sz w:val="32"/>
          <w:szCs w:val="32"/>
          <w:highlight w:val="none"/>
        </w:rPr>
        <w:t>（类）</w:t>
      </w:r>
      <w:r>
        <w:rPr>
          <w:rFonts w:hint="eastAsia" w:ascii="Times New Roman" w:hAnsi="Times New Roman" w:eastAsia="仿宋_GB2312" w:cs="Times New Roman"/>
          <w:sz w:val="32"/>
          <w:szCs w:val="32"/>
          <w:highlight w:val="none"/>
          <w:lang w:eastAsia="zh-CN"/>
        </w:rPr>
        <w:t>住房改革支出（</w:t>
      </w:r>
      <w:r>
        <w:rPr>
          <w:rFonts w:hint="default"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住房公积金</w:t>
      </w:r>
      <w:r>
        <w:rPr>
          <w:rFonts w:hint="default" w:ascii="Times New Roman" w:hAnsi="Times New Roman" w:eastAsia="仿宋_GB2312" w:cs="Times New Roman"/>
          <w:sz w:val="32"/>
          <w:szCs w:val="32"/>
          <w:highlight w:val="none"/>
        </w:rPr>
        <w:t>（项）</w:t>
      </w:r>
      <w:r>
        <w:rPr>
          <w:rFonts w:hint="eastAsia" w:ascii="Times New Roman" w:hAnsi="Times New Roman" w:eastAsia="仿宋_GB2312" w:cs="Times New Roman"/>
          <w:sz w:val="32"/>
          <w:szCs w:val="32"/>
          <w:highlight w:val="none"/>
          <w:lang w:val="en-US" w:eastAsia="zh-CN"/>
        </w:rPr>
        <w:t>2022年</w:t>
      </w:r>
      <w:r>
        <w:rPr>
          <w:rFonts w:hint="default" w:ascii="Times New Roman" w:hAnsi="Times New Roman" w:eastAsia="仿宋_GB2312" w:cs="Times New Roman"/>
          <w:sz w:val="32"/>
          <w:szCs w:val="32"/>
          <w:highlight w:val="none"/>
        </w:rPr>
        <w:t>预算数为</w:t>
      </w:r>
      <w:r>
        <w:rPr>
          <w:rFonts w:hint="eastAsia" w:ascii="Times New Roman" w:hAnsi="Times New Roman" w:eastAsia="仿宋_GB2312" w:cs="Times New Roman"/>
          <w:sz w:val="32"/>
          <w:szCs w:val="32"/>
          <w:highlight w:val="none"/>
          <w:lang w:val="en-US" w:eastAsia="zh-CN"/>
        </w:rPr>
        <w:t>22.79</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。比较上年增加</w:t>
      </w:r>
      <w:r>
        <w:rPr>
          <w:rFonts w:hint="eastAsia" w:ascii="Times New Roman" w:hAnsi="Times New Roman" w:eastAsia="仿宋_GB2312" w:cs="Times New Roman"/>
          <w:sz w:val="32"/>
          <w:szCs w:val="32"/>
          <w:highlight w:val="none"/>
          <w:lang w:val="en-US" w:eastAsia="zh-CN"/>
        </w:rPr>
        <w:t>4.69万元，主要是因为我单位在编在职人员比去年增加。</w:t>
      </w:r>
    </w:p>
    <w:p>
      <w:pPr>
        <w:ind w:firstLine="640" w:firstLineChars="200"/>
        <w:rPr>
          <w:rFonts w:hint="default" w:ascii="Times New Roman" w:hAnsi="Times New Roman" w:eastAsia="仿宋_GB2312" w:cs="Times New Roman"/>
          <w:sz w:val="32"/>
          <w:szCs w:val="32"/>
          <w:highlight w:val="yellow"/>
          <w:lang w:eastAsia="zh-CN"/>
        </w:rPr>
      </w:pP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eastAsia="zh-CN"/>
        </w:rPr>
        <w:t>中共三亚市委政策研究室</w:t>
      </w:r>
      <w:r>
        <w:rPr>
          <w:rFonts w:hint="eastAsia" w:ascii="Times New Roman" w:hAnsi="Times New Roman" w:eastAsia="黑体" w:cs="Times New Roman"/>
          <w:sz w:val="32"/>
          <w:szCs w:val="32"/>
          <w:lang w:val="en-US" w:eastAsia="zh-CN"/>
        </w:rPr>
        <w:t>2022年</w:t>
      </w:r>
      <w:r>
        <w:rPr>
          <w:rFonts w:hint="default" w:ascii="Times New Roman" w:hAnsi="Times New Roman" w:eastAsia="黑体" w:cs="Times New Roman"/>
          <w:sz w:val="32"/>
          <w:szCs w:val="32"/>
        </w:rPr>
        <w:t>一般公共预算基本支出情况说明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一般公共预算基本支出为</w:t>
      </w:r>
      <w:r>
        <w:rPr>
          <w:rFonts w:hint="eastAsia" w:ascii="Times New Roman" w:hAnsi="Times New Roman" w:eastAsia="仿宋_GB2312" w:cs="Times New Roman"/>
          <w:sz w:val="32"/>
          <w:szCs w:val="32"/>
          <w:lang w:val="en-US" w:eastAsia="zh-CN"/>
        </w:rPr>
        <w:t>381.89</w:t>
      </w:r>
      <w:r>
        <w:rPr>
          <w:rFonts w:hint="default" w:ascii="Times New Roman" w:hAnsi="Times New Roman" w:eastAsia="仿宋_GB2312" w:cs="Times New Roman"/>
          <w:sz w:val="32"/>
          <w:szCs w:val="32"/>
        </w:rPr>
        <w:t>万元，其中：</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351.74</w:t>
      </w:r>
      <w:r>
        <w:rPr>
          <w:rFonts w:hint="default" w:ascii="Times New Roman" w:hAnsi="Times New Roman" w:eastAsia="仿宋_GB2312" w:cs="Times New Roman"/>
          <w:sz w:val="32"/>
          <w:szCs w:val="32"/>
        </w:rPr>
        <w:t>万元，主要包括：基本工资、津贴补贴、奖金、绩效工资、机关事业单位基本养老保险缴费、职工基本医疗保险缴费、公务员医疗补助缴费、其他社会保障缴费、住房公积金、</w:t>
      </w:r>
      <w:r>
        <w:rPr>
          <w:rFonts w:hint="eastAsia" w:ascii="Times New Roman" w:hAnsi="Times New Roman" w:eastAsia="仿宋_GB2312" w:cs="Times New Roman"/>
          <w:sz w:val="32"/>
          <w:szCs w:val="32"/>
          <w:lang w:eastAsia="zh-CN"/>
        </w:rPr>
        <w:t>医疗费、</w:t>
      </w:r>
      <w:r>
        <w:rPr>
          <w:rFonts w:hint="default" w:ascii="Times New Roman" w:hAnsi="Times New Roman" w:eastAsia="仿宋_GB2312" w:cs="Times New Roman"/>
          <w:sz w:val="32"/>
          <w:szCs w:val="32"/>
        </w:rPr>
        <w:t>其他工资福利支出</w:t>
      </w:r>
      <w:r>
        <w:rPr>
          <w:rFonts w:hint="default" w:ascii="Times New Roman" w:hAnsi="Times New Roman" w:eastAsia="仿宋_GB2312" w:cs="Times New Roman"/>
          <w:sz w:val="32"/>
          <w:szCs w:val="32"/>
          <w:lang w:eastAsia="zh-CN"/>
        </w:rPr>
        <w:t>、邮电费、其他交通费用、奖励金</w:t>
      </w:r>
      <w:r>
        <w:rPr>
          <w:rFonts w:hint="eastAsia"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30.15</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eastAsia="zh-CN"/>
        </w:rPr>
        <w:t>其他社会保障缴费、办公费、会议费、培训费、工会经费、福利费、其他商品和服务支出</w:t>
      </w:r>
      <w:r>
        <w:rPr>
          <w:rFonts w:hint="eastAsia" w:ascii="Times New Roman" w:hAnsi="Times New Roman" w:eastAsia="仿宋_GB2312" w:cs="Times New Roman"/>
          <w:sz w:val="32"/>
          <w:szCs w:val="32"/>
          <w:lang w:eastAsia="zh-CN"/>
        </w:rPr>
        <w:t>、生活补助、其他对个人和家庭的补助</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一般公共预算“三公”经费预算数为</w:t>
      </w: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zCs w:val="32"/>
        </w:rPr>
        <w:t>其中：</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hd w:val="clear" w:color="auto" w:fill="FFFFFF"/>
          <w:lang w:val="en-US" w:eastAsia="zh-CN"/>
        </w:rPr>
        <w:t>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与上年预算持平；</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较</w:t>
      </w:r>
      <w:r>
        <w:rPr>
          <w:rFonts w:hint="default" w:ascii="Times New Roman" w:hAnsi="Times New Roman" w:eastAsia="仿宋_GB2312" w:cs="Times New Roman"/>
          <w:sz w:val="32"/>
          <w:shd w:val="clear" w:color="auto" w:fill="FFFFFF"/>
        </w:rPr>
        <w:t>上年预算</w:t>
      </w:r>
      <w:r>
        <w:rPr>
          <w:rFonts w:hint="eastAsia" w:ascii="Times New Roman" w:hAnsi="Times New Roman" w:eastAsia="仿宋_GB2312" w:cs="Times New Roman"/>
          <w:sz w:val="32"/>
          <w:shd w:val="clear" w:color="auto" w:fill="FFFFFF"/>
          <w:lang w:eastAsia="zh-CN"/>
        </w:rPr>
        <w:t>增长</w:t>
      </w:r>
      <w:r>
        <w:rPr>
          <w:rFonts w:hint="eastAsia" w:ascii="Times New Roman" w:hAnsi="Times New Roman" w:eastAsia="仿宋_GB2312" w:cs="Times New Roman"/>
          <w:sz w:val="32"/>
          <w:shd w:val="clear" w:color="auto" w:fill="FFFFFF"/>
          <w:lang w:val="en-US" w:eastAsia="zh-CN"/>
        </w:rPr>
        <w:t>140%，增长的主要原因是自《海南自由贸易港建设总体方案》发布以来，为推进海南自贸港建设，中央各部委推进海南自由贸易港建设工作专班，以及全国各省市来我市调研频繁</w:t>
      </w:r>
      <w:r>
        <w:rPr>
          <w:rFonts w:hint="default" w:ascii="Times New Roman" w:hAnsi="Times New Roman" w:eastAsia="仿宋_GB2312" w:cs="Times New Roman"/>
          <w:sz w:val="32"/>
          <w:shd w:val="clear" w:color="auto" w:fill="FFFFFF"/>
        </w:rPr>
        <w:t>。</w:t>
      </w:r>
    </w:p>
    <w:p>
      <w:pPr>
        <w:numPr>
          <w:ilvl w:val="0"/>
          <w:numId w:val="8"/>
        </w:num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政府性基金预算</w:t>
      </w:r>
      <w:r>
        <w:rPr>
          <w:rFonts w:hint="default" w:ascii="Times New Roman" w:hAnsi="Times New Roman" w:eastAsia="仿宋_GB2312" w:cs="Times New Roman"/>
          <w:sz w:val="32"/>
          <w:szCs w:val="32"/>
        </w:rPr>
        <w:t>“三公”经费预算数为</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，与上年预算持平。</w:t>
      </w:r>
    </w:p>
    <w:p>
      <w:pPr>
        <w:numPr>
          <w:ilvl w:val="0"/>
          <w:numId w:val="9"/>
        </w:numPr>
        <w:ind w:left="640" w:leftChars="0" w:firstLine="0" w:firstLineChars="0"/>
        <w:rPr>
          <w:rFonts w:hint="eastAsia" w:ascii="Times New Roman" w:hAnsi="Times New Roman" w:eastAsia="黑体" w:cs="Times New Roman"/>
          <w:sz w:val="32"/>
          <w:shd w:val="clear" w:color="auto" w:fill="FFFFFF"/>
          <w:lang w:val="en-US" w:eastAsia="zh-CN"/>
        </w:rPr>
      </w:pPr>
      <w:r>
        <w:rPr>
          <w:rFonts w:hint="eastAsia" w:ascii="Times New Roman" w:hAnsi="Times New Roman" w:eastAsia="黑体" w:cs="Times New Roman"/>
          <w:sz w:val="32"/>
          <w:shd w:val="clear" w:color="auto" w:fill="FFFFFF"/>
          <w:lang w:val="en-US" w:eastAsia="zh-CN"/>
        </w:rPr>
        <w:t>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2022年政府性基金预算当年拨款情况说明</w:t>
      </w:r>
    </w:p>
    <w:p>
      <w:pPr>
        <w:numPr>
          <w:ilvl w:val="0"/>
          <w:numId w:val="0"/>
        </w:numPr>
        <w:rPr>
          <w:rFonts w:hint="default" w:ascii="Times New Roman" w:hAnsi="Times New Roman" w:eastAsia="黑体" w:cs="Times New Roman"/>
          <w:sz w:val="32"/>
          <w:shd w:val="clear" w:color="auto" w:fill="FFFFFF"/>
          <w:lang w:val="en-US" w:eastAsia="zh-CN"/>
        </w:rPr>
      </w:pPr>
      <w:r>
        <w:rPr>
          <w:rFonts w:hint="eastAsia" w:ascii="Times New Roman" w:hAnsi="Times New Roman" w:eastAsia="黑体" w:cs="Times New Roman"/>
          <w:sz w:val="32"/>
          <w:shd w:val="clear" w:color="auto" w:fill="FFFFFF"/>
          <w:lang w:val="en-US" w:eastAsia="zh-CN"/>
        </w:rPr>
        <w:t xml:space="preserve">   </w:t>
      </w:r>
      <w:r>
        <w:rPr>
          <w:rFonts w:hint="eastAsia" w:ascii="Times New Roman" w:hAnsi="Times New Roman" w:eastAsia="仿宋_GB2312" w:cs="Times New Roman"/>
          <w:sz w:val="32"/>
          <w:szCs w:val="32"/>
          <w:lang w:val="en-US" w:eastAsia="zh-CN"/>
        </w:rPr>
        <w:t xml:space="preserve"> 中共三亚市委政策研究室2022年</w:t>
      </w:r>
      <w:r>
        <w:rPr>
          <w:rFonts w:hint="eastAsia" w:ascii="Times New Roman" w:hAnsi="Times New Roman" w:eastAsia="仿宋_GB2312" w:cs="Times New Roman"/>
          <w:sz w:val="32"/>
          <w:szCs w:val="32"/>
          <w:lang w:eastAsia="zh-CN"/>
        </w:rPr>
        <w:t>政府性基金预算</w:t>
      </w:r>
      <w:r>
        <w:rPr>
          <w:rFonts w:hint="eastAsia" w:ascii="Times New Roman" w:hAnsi="Times New Roman" w:eastAsia="仿宋_GB2312" w:cs="Times New Roman"/>
          <w:sz w:val="32"/>
          <w:szCs w:val="32"/>
          <w:lang w:val="en-US" w:eastAsia="zh-CN"/>
        </w:rPr>
        <w:t>0万元，与上年预算持平。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bookmarkStart w:id="0" w:name="_GoBack"/>
      <w:bookmarkEnd w:id="0"/>
      <w:r>
        <w:rPr>
          <w:rFonts w:hint="default" w:ascii="Times New Roman" w:hAnsi="Times New Roman" w:eastAsia="仿宋_GB2312" w:cs="Times New Roman"/>
          <w:sz w:val="32"/>
          <w:szCs w:val="32"/>
        </w:rPr>
        <w:t>预算管理。收入：一般公共预算收入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支出包括：一般公共服务支出、</w:t>
      </w:r>
      <w:r>
        <w:rPr>
          <w:rFonts w:hint="default" w:ascii="Times New Roman" w:hAnsi="Times New Roman" w:eastAsia="仿宋_GB2312" w:cs="Times New Roman"/>
          <w:sz w:val="32"/>
          <w:szCs w:val="32"/>
          <w:lang w:eastAsia="zh-CN"/>
        </w:rPr>
        <w:t>社会和保障就业支出</w:t>
      </w:r>
      <w:r>
        <w:rPr>
          <w:rFonts w:hint="default" w:ascii="Times New Roman" w:hAnsi="Times New Roman" w:eastAsia="仿宋_GB2312" w:cs="Times New Roman"/>
          <w:sz w:val="32"/>
          <w:szCs w:val="32"/>
        </w:rPr>
        <w:t>、卫生健康支出、住房保障支出。</w:t>
      </w: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收支总预算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收入预算情况说明</w:t>
      </w:r>
    </w:p>
    <w:p>
      <w:pPr>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收入预算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万元，其中：经费拨款收入</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142.47</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主要是2021年通过调动新增干部4名，同时，工作项目增加，因此人员调入、人员经费及公用经费增加以及项目经费有所增加。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eastAsia="zh-CN"/>
        </w:rPr>
        <w:t>中共三亚市委政策研究室</w:t>
      </w:r>
      <w:r>
        <w:rPr>
          <w:rFonts w:hint="eastAsia" w:ascii="Times New Roman" w:hAnsi="Times New Roman" w:eastAsia="黑体" w:cs="Times New Roman"/>
          <w:sz w:val="32"/>
          <w:shd w:val="clear" w:color="auto" w:fill="FFFFFF"/>
          <w:lang w:val="en-US" w:eastAsia="zh-CN"/>
        </w:rPr>
        <w:t>2022年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2022年</w:t>
      </w:r>
      <w:r>
        <w:rPr>
          <w:rFonts w:hint="default" w:ascii="Times New Roman" w:hAnsi="Times New Roman" w:eastAsia="仿宋_GB2312" w:cs="Times New Roman"/>
          <w:sz w:val="32"/>
          <w:szCs w:val="32"/>
        </w:rPr>
        <w:t>支出预算</w:t>
      </w:r>
      <w:r>
        <w:rPr>
          <w:rFonts w:hint="eastAsia" w:ascii="Times New Roman" w:hAnsi="Times New Roman" w:eastAsia="仿宋_GB2312" w:cs="Times New Roman"/>
          <w:sz w:val="32"/>
          <w:szCs w:val="32"/>
          <w:lang w:val="en-US" w:eastAsia="zh-CN"/>
        </w:rPr>
        <w:t>641.89</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381.89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59.49</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260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40.51</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142.47</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是工作项目增加</w:t>
      </w:r>
      <w:r>
        <w:rPr>
          <w:rFonts w:hint="eastAsia" w:ascii="Times New Roman" w:hAnsi="Times New Roman" w:eastAsia="仿宋_GB2312" w:cs="Times New Roman"/>
          <w:sz w:val="32"/>
          <w:szCs w:val="32"/>
          <w:lang w:eastAsia="zh-CN"/>
        </w:rPr>
        <w:t>，调动新增干部，在职干部正常职务晋级晋升等人员经费、公用支出经费及项目经费有所增加。</w:t>
      </w:r>
    </w:p>
    <w:p>
      <w:pPr>
        <w:ind w:firstLine="0" w:firstLineChars="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lang w:val="en-US" w:eastAsia="zh-CN"/>
        </w:rPr>
        <w:t xml:space="preserve">     九</w:t>
      </w:r>
      <w:r>
        <w:rPr>
          <w:rFonts w:hint="default" w:ascii="Times New Roman" w:hAnsi="Times New Roman" w:eastAsia="黑体" w:cs="Times New Roman"/>
          <w:sz w:val="32"/>
          <w:shd w:val="clear" w:color="auto" w:fill="FFFFFF"/>
        </w:rPr>
        <w:t>、其他重要事项的情况说明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2022年中共三亚市委政策研究室</w:t>
      </w:r>
      <w:r>
        <w:rPr>
          <w:rFonts w:hint="default" w:ascii="Times New Roman" w:hAnsi="Times New Roman" w:eastAsia="仿宋_GB2312" w:cs="Times New Roman"/>
          <w:sz w:val="32"/>
          <w:szCs w:val="32"/>
        </w:rPr>
        <w:t>的机关运行经费预算</w:t>
      </w:r>
      <w:r>
        <w:rPr>
          <w:rFonts w:hint="eastAsia" w:ascii="Times New Roman" w:hAnsi="Times New Roman" w:eastAsia="仿宋_GB2312" w:cs="Times New Roman"/>
          <w:sz w:val="32"/>
          <w:szCs w:val="32"/>
          <w:lang w:val="en-US" w:eastAsia="zh-CN"/>
        </w:rPr>
        <w:t>55.76</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2022年中共三亚市委政策研究室</w:t>
      </w:r>
      <w:r>
        <w:rPr>
          <w:rFonts w:hint="default" w:ascii="Times New Roman" w:hAnsi="Times New Roman" w:eastAsia="仿宋_GB2312" w:cs="Times New Roman"/>
          <w:sz w:val="32"/>
          <w:szCs w:val="32"/>
        </w:rPr>
        <w:t>采购预算总额</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eastAsia" w:ascii="Times New Roman" w:hAnsi="Times New Roman" w:eastAsia="仿宋_GB2312" w:cs="Times New Roman"/>
          <w:sz w:val="32"/>
          <w:szCs w:val="32"/>
          <w:lang w:val="en-US" w:eastAsia="zh-CN"/>
        </w:rPr>
        <w:t>2022年2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w:t>
      </w:r>
      <w:r>
        <w:rPr>
          <w:rFonts w:hint="eastAsia" w:ascii="Times New Roman" w:hAnsi="Times New Roman" w:eastAsia="仿宋_GB2312" w:cs="Times New Roman"/>
          <w:sz w:val="32"/>
          <w:szCs w:val="32"/>
          <w:lang w:eastAsia="zh-CN"/>
        </w:rPr>
        <w:t>中共三亚市委政策研究室</w:t>
      </w:r>
      <w:r>
        <w:rPr>
          <w:rFonts w:hint="default" w:ascii="Times New Roman" w:hAnsi="Times New Roman" w:eastAsia="仿宋_GB2312" w:cs="Times New Roman"/>
          <w:sz w:val="32"/>
          <w:szCs w:val="32"/>
        </w:rPr>
        <w:t>本级及下属各预算单位共有车辆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中共三亚市委政策研究室</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个项目实行绩效目标管理，</w:t>
      </w:r>
      <w:r>
        <w:rPr>
          <w:rFonts w:hint="default" w:ascii="Times New Roman" w:hAnsi="Times New Roman" w:eastAsia="仿宋_GB2312" w:cs="Times New Roman"/>
          <w:sz w:val="32"/>
          <w:szCs w:val="32"/>
          <w:highlight w:val="none"/>
        </w:rPr>
        <w:t>涉及一般公共预算</w:t>
      </w:r>
      <w:r>
        <w:rPr>
          <w:rFonts w:hint="eastAsia" w:ascii="Times New Roman" w:hAnsi="Times New Roman" w:eastAsia="仿宋_GB2312" w:cs="Times New Roman"/>
          <w:sz w:val="32"/>
          <w:szCs w:val="32"/>
          <w:highlight w:val="none"/>
          <w:lang w:val="en-US" w:eastAsia="zh-CN"/>
        </w:rPr>
        <w:t>641.89</w:t>
      </w:r>
      <w:r>
        <w:rPr>
          <w:rFonts w:hint="default" w:ascii="Times New Roman" w:hAnsi="Times New Roman" w:eastAsia="仿宋_GB2312" w:cs="Times New Roman"/>
          <w:sz w:val="32"/>
          <w:szCs w:val="32"/>
          <w:highlight w:val="none"/>
        </w:rPr>
        <w:t>万元、政府性基金0万元。</w:t>
      </w:r>
    </w:p>
    <w:p>
      <w:pPr>
        <w:jc w:val="left"/>
        <w:rPr>
          <w:rFonts w:hint="default" w:ascii="Times New Roman" w:hAnsi="Times New Roman" w:eastAsia="仿宋_GB2312" w:cs="Times New Roman"/>
          <w:color w:val="000000"/>
          <w:kern w:val="0"/>
          <w:sz w:val="32"/>
          <w:szCs w:val="30"/>
          <w:highlight w:val="yellow"/>
        </w:rPr>
      </w:pPr>
    </w:p>
    <w:p>
      <w:pPr>
        <w:jc w:val="center"/>
        <w:rPr>
          <w:rFonts w:hint="default" w:ascii="Times New Roman" w:hAnsi="Times New Roman" w:eastAsia="仿宋_GB2312" w:cs="Times New Roman"/>
          <w:bCs/>
          <w:color w:val="000000"/>
          <w:kern w:val="0"/>
          <w:sz w:val="32"/>
          <w:szCs w:val="32"/>
          <w:lang w:val="zh-CN"/>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Dotum">
    <w:panose1 w:val="020B0600000101010101"/>
    <w:charset w:val="81"/>
    <w:family w:val="auto"/>
    <w:pitch w:val="default"/>
    <w:sig w:usb0="B00002AF" w:usb1="69D77CFB" w:usb2="00000030" w:usb3="00000000" w:csb0="4008009F" w:csb1="DFD7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44196908">
    <w:nsid w:val="6200742C"/>
    <w:multiLevelType w:val="singleLevel"/>
    <w:tmpl w:val="6200742C"/>
    <w:lvl w:ilvl="0" w:tentative="1">
      <w:start w:val="8"/>
      <w:numFmt w:val="chineseCounting"/>
      <w:suff w:val="nothing"/>
      <w:lvlText w:val="（%1）"/>
      <w:lvlJc w:val="left"/>
    </w:lvl>
  </w:abstractNum>
  <w:abstractNum w:abstractNumId="1644197009">
    <w:nsid w:val="62007491"/>
    <w:multiLevelType w:val="singleLevel"/>
    <w:tmpl w:val="62007491"/>
    <w:lvl w:ilvl="0" w:tentative="1">
      <w:start w:val="10"/>
      <w:numFmt w:val="chineseCounting"/>
      <w:suff w:val="nothing"/>
      <w:lvlText w:val="（%1）"/>
      <w:lvlJc w:val="left"/>
    </w:lvl>
  </w:abstractNum>
  <w:abstractNum w:abstractNumId="1397454426">
    <w:nsid w:val="534B765A"/>
    <w:multiLevelType w:val="singleLevel"/>
    <w:tmpl w:val="534B765A"/>
    <w:lvl w:ilvl="0" w:tentative="1">
      <w:start w:val="2"/>
      <w:numFmt w:val="chineseCounting"/>
      <w:suff w:val="space"/>
      <w:lvlText w:val="第%1部分"/>
      <w:lvlJc w:val="left"/>
      <w:rPr>
        <w:rFonts w:hint="eastAsia"/>
      </w:rPr>
    </w:lvl>
  </w:abstractNum>
  <w:abstractNum w:abstractNumId="3982676592">
    <w:nsid w:val="ED62D270"/>
    <w:multiLevelType w:val="singleLevel"/>
    <w:tmpl w:val="ED62D270"/>
    <w:lvl w:ilvl="0" w:tentative="1">
      <w:start w:val="2"/>
      <w:numFmt w:val="chineseCounting"/>
      <w:suff w:val="nothing"/>
      <w:lvlText w:val="（%1）"/>
      <w:lvlJc w:val="left"/>
      <w:rPr>
        <w:rFonts w:hint="eastAsia"/>
      </w:rPr>
    </w:lvl>
  </w:abstractNum>
  <w:abstractNum w:abstractNumId="3069445805">
    <w:nsid w:val="B6F406AD"/>
    <w:multiLevelType w:val="singleLevel"/>
    <w:tmpl w:val="B6F406AD"/>
    <w:lvl w:ilvl="0" w:tentative="1">
      <w:start w:val="5"/>
      <w:numFmt w:val="chineseCounting"/>
      <w:suff w:val="nothing"/>
      <w:lvlText w:val="%1、"/>
      <w:lvlJc w:val="left"/>
      <w:pPr>
        <w:ind w:left="640" w:leftChars="0" w:firstLine="0" w:firstLineChars="0"/>
      </w:pPr>
      <w:rPr>
        <w:rFonts w:hint="eastAsia"/>
      </w:rPr>
    </w:lvl>
  </w:abstractNum>
  <w:num w:numId="1">
    <w:abstractNumId w:val="92482439"/>
  </w:num>
  <w:num w:numId="2">
    <w:abstractNumId w:val="1285186183"/>
  </w:num>
  <w:num w:numId="3">
    <w:abstractNumId w:val="1516312359"/>
  </w:num>
  <w:num w:numId="4">
    <w:abstractNumId w:val="1893038598"/>
  </w:num>
  <w:num w:numId="5">
    <w:abstractNumId w:val="1644196908"/>
  </w:num>
  <w:num w:numId="6">
    <w:abstractNumId w:val="1644197009"/>
  </w:num>
  <w:num w:numId="7">
    <w:abstractNumId w:val="1397454426"/>
  </w:num>
  <w:num w:numId="8">
    <w:abstractNumId w:val="3982676592"/>
  </w:num>
  <w:num w:numId="9">
    <w:abstractNumId w:val="30694458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F7D19"/>
    <w:rsid w:val="00052EC6"/>
    <w:rsid w:val="02966C66"/>
    <w:rsid w:val="03D24993"/>
    <w:rsid w:val="04A27512"/>
    <w:rsid w:val="052F7D19"/>
    <w:rsid w:val="065F4021"/>
    <w:rsid w:val="07663E79"/>
    <w:rsid w:val="0DDD6A90"/>
    <w:rsid w:val="0E520835"/>
    <w:rsid w:val="0FED78F9"/>
    <w:rsid w:val="11872942"/>
    <w:rsid w:val="12F004C8"/>
    <w:rsid w:val="15C44034"/>
    <w:rsid w:val="1660587B"/>
    <w:rsid w:val="169E6B8C"/>
    <w:rsid w:val="1D316BEB"/>
    <w:rsid w:val="1D5F4FA4"/>
    <w:rsid w:val="1E3C0B58"/>
    <w:rsid w:val="1F4558BC"/>
    <w:rsid w:val="20023626"/>
    <w:rsid w:val="216D546E"/>
    <w:rsid w:val="218C704B"/>
    <w:rsid w:val="21AB5797"/>
    <w:rsid w:val="24256869"/>
    <w:rsid w:val="288A4070"/>
    <w:rsid w:val="2A1A7F78"/>
    <w:rsid w:val="2B160EFC"/>
    <w:rsid w:val="2B6753AB"/>
    <w:rsid w:val="2F943BBE"/>
    <w:rsid w:val="2FFB463E"/>
    <w:rsid w:val="31A9520C"/>
    <w:rsid w:val="35E835A5"/>
    <w:rsid w:val="38A30EA4"/>
    <w:rsid w:val="3B940575"/>
    <w:rsid w:val="3C032B16"/>
    <w:rsid w:val="3CA5273D"/>
    <w:rsid w:val="3EB667A3"/>
    <w:rsid w:val="3FE830A1"/>
    <w:rsid w:val="40644F5E"/>
    <w:rsid w:val="413B5249"/>
    <w:rsid w:val="4341159A"/>
    <w:rsid w:val="43CA6131"/>
    <w:rsid w:val="441623A5"/>
    <w:rsid w:val="44546F0A"/>
    <w:rsid w:val="483642EF"/>
    <w:rsid w:val="491E26E1"/>
    <w:rsid w:val="4D941A9C"/>
    <w:rsid w:val="4DC6084B"/>
    <w:rsid w:val="517D3A79"/>
    <w:rsid w:val="548E03AC"/>
    <w:rsid w:val="555C0ED9"/>
    <w:rsid w:val="56070B2B"/>
    <w:rsid w:val="563A2BE4"/>
    <w:rsid w:val="574623A0"/>
    <w:rsid w:val="574972F9"/>
    <w:rsid w:val="575A5C5A"/>
    <w:rsid w:val="57DD4557"/>
    <w:rsid w:val="57E75A74"/>
    <w:rsid w:val="597138BC"/>
    <w:rsid w:val="5982448A"/>
    <w:rsid w:val="5CB31BD1"/>
    <w:rsid w:val="5D564142"/>
    <w:rsid w:val="5E3C32CB"/>
    <w:rsid w:val="5EF27CA7"/>
    <w:rsid w:val="65396552"/>
    <w:rsid w:val="65484BB4"/>
    <w:rsid w:val="6AA056DE"/>
    <w:rsid w:val="6CD32760"/>
    <w:rsid w:val="6D1C48BF"/>
    <w:rsid w:val="6E577DAE"/>
    <w:rsid w:val="6EEC2BC8"/>
    <w:rsid w:val="74FF01C0"/>
    <w:rsid w:val="753D1098"/>
    <w:rsid w:val="767804C1"/>
    <w:rsid w:val="79465A4E"/>
    <w:rsid w:val="7AF903F0"/>
    <w:rsid w:val="7B3D1C45"/>
    <w:rsid w:val="7BFC1306"/>
    <w:rsid w:val="7CA80B6A"/>
    <w:rsid w:val="7E240FF2"/>
    <w:rsid w:val="7E8B4FE1"/>
    <w:rsid w:val="7EF9164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2021-03-01T09:42:00Z</dcterms:created>
  <dc:creator>sss</dc:creator>
  <cp:lastModifiedBy>中共三亚市委政策研究室</cp:lastModifiedBy>
  <cp:lastPrinted>2022-02-09T09:08:00Z</cp:lastPrinted>
  <dcterms:modified xsi:type="dcterms:W3CDTF">2023-07-12T03:14:25Z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