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highlight w:val="none"/>
          <w:u w:val="single"/>
        </w:rPr>
      </w:pPr>
    </w:p>
    <w:p>
      <w:pPr>
        <w:rPr>
          <w:rFonts w:ascii="Times New Roman" w:hAnsi="Times New Roman" w:cs="Times New Roman"/>
          <w:sz w:val="84"/>
          <w:szCs w:val="84"/>
          <w:highlight w:val="none"/>
          <w:u w:val="single"/>
        </w:rPr>
      </w:pPr>
    </w:p>
    <w:p>
      <w:pPr>
        <w:rPr>
          <w:rFonts w:ascii="Times New Roman" w:hAnsi="Times New Roman" w:cs="Times New Roman"/>
          <w:sz w:val="84"/>
          <w:szCs w:val="84"/>
          <w:highlight w:val="none"/>
          <w:u w:val="single"/>
        </w:rPr>
      </w:pPr>
    </w:p>
    <w:p>
      <w:pPr>
        <w:rPr>
          <w:rFonts w:ascii="Times New Roman" w:hAnsi="Times New Roman" w:cs="Times New Roman"/>
          <w:sz w:val="84"/>
          <w:szCs w:val="84"/>
          <w:highlight w:val="none"/>
          <w:u w:val="single"/>
        </w:rPr>
      </w:pPr>
    </w:p>
    <w:p>
      <w:pPr>
        <w:jc w:val="center"/>
        <w:rPr>
          <w:rFonts w:ascii="Times New Roman" w:hAnsi="Times New Roman" w:cs="Times New Roman"/>
          <w:b/>
          <w:bCs/>
          <w:sz w:val="52"/>
          <w:szCs w:val="52"/>
          <w:highlight w:val="none"/>
        </w:rPr>
      </w:pPr>
      <w:r>
        <w:rPr>
          <w:rFonts w:ascii="Times New Roman" w:hAnsi="Times New Roman" w:cs="Times New Roman"/>
          <w:b/>
          <w:bCs/>
          <w:sz w:val="52"/>
          <w:szCs w:val="52"/>
          <w:highlight w:val="none"/>
        </w:rPr>
        <w:t>2022</w:t>
      </w:r>
      <w:r>
        <w:rPr>
          <w:rFonts w:hint="eastAsia" w:ascii="Times New Roman" w:hAnsi="Times New Roman" w:cs="Times New Roman"/>
          <w:b/>
          <w:bCs/>
          <w:sz w:val="52"/>
          <w:szCs w:val="52"/>
          <w:highlight w:val="none"/>
        </w:rPr>
        <w:t>年三亚市物业信息和白蚁防治中心</w:t>
      </w:r>
      <w:r>
        <w:rPr>
          <w:rFonts w:hint="eastAsia" w:ascii="Times New Roman" w:hAnsi="Times New Roman" w:cs="Times New Roman"/>
          <w:b/>
          <w:bCs/>
          <w:sz w:val="52"/>
          <w:szCs w:val="52"/>
          <w:highlight w:val="none"/>
          <w:lang w:eastAsia="zh-CN"/>
        </w:rPr>
        <w:t>单位</w:t>
      </w:r>
      <w:r>
        <w:rPr>
          <w:rFonts w:hint="eastAsia" w:ascii="Times New Roman" w:hAnsi="Times New Roman" w:cs="Times New Roman"/>
          <w:b/>
          <w:bCs/>
          <w:sz w:val="52"/>
          <w:szCs w:val="52"/>
          <w:highlight w:val="none"/>
        </w:rPr>
        <w:t>预算</w:t>
      </w: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ind w:firstLine="1680"/>
        <w:jc w:val="center"/>
        <w:rPr>
          <w:rFonts w:ascii="Times New Roman" w:hAnsi="Times New Roman" w:cs="Times New Roman"/>
          <w:sz w:val="84"/>
          <w:szCs w:val="84"/>
          <w:highlight w:val="none"/>
        </w:rPr>
      </w:pPr>
    </w:p>
    <w:p>
      <w:pPr>
        <w:rPr>
          <w:rFonts w:ascii="Times New Roman" w:hAnsi="Times New Roman" w:cs="Times New Roman"/>
          <w:sz w:val="84"/>
          <w:szCs w:val="84"/>
          <w:highlight w:val="none"/>
        </w:rPr>
      </w:pPr>
    </w:p>
    <w:p>
      <w:pPr>
        <w:jc w:val="center"/>
        <w:rPr>
          <w:rFonts w:ascii="Times New Roman" w:hAnsi="Times New Roman" w:eastAsia="黑体" w:cs="Times New Roman"/>
          <w:sz w:val="52"/>
          <w:szCs w:val="52"/>
          <w:highlight w:val="none"/>
        </w:rPr>
      </w:pPr>
      <w:r>
        <w:rPr>
          <w:rFonts w:hint="eastAsia" w:ascii="Times New Roman" w:hAnsi="Times New Roman" w:eastAsia="黑体" w:cs="Times New Roman"/>
          <w:sz w:val="52"/>
          <w:szCs w:val="52"/>
          <w:highlight w:val="none"/>
        </w:rPr>
        <w:t>目录</w:t>
      </w:r>
    </w:p>
    <w:p>
      <w:pPr>
        <w:pStyle w:val="7"/>
        <w:numPr>
          <w:ilvl w:val="0"/>
          <w:numId w:val="1"/>
        </w:numPr>
        <w:ind w:firstLineChars="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三亚市物业信息和白蚁防治中心概况</w:t>
      </w:r>
    </w:p>
    <w:p>
      <w:pPr>
        <w:pStyle w:val="7"/>
        <w:numPr>
          <w:ilvl w:val="0"/>
          <w:numId w:val="2"/>
        </w:numPr>
        <w:ind w:firstLineChars="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主要职能</w:t>
      </w:r>
    </w:p>
    <w:p>
      <w:pPr>
        <w:pStyle w:val="7"/>
        <w:numPr>
          <w:ilvl w:val="0"/>
          <w:numId w:val="2"/>
        </w:numPr>
        <w:ind w:firstLineChars="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单位</w:t>
      </w:r>
      <w:r>
        <w:rPr>
          <w:rFonts w:hint="eastAsia" w:ascii="Times New Roman" w:hAnsi="Times New Roman" w:eastAsia="黑体" w:cs="Times New Roman"/>
          <w:sz w:val="32"/>
          <w:szCs w:val="32"/>
          <w:highlight w:val="none"/>
        </w:rPr>
        <w:t>预算单位构成</w:t>
      </w:r>
    </w:p>
    <w:p>
      <w:pPr>
        <w:pStyle w:val="7"/>
        <w:numPr>
          <w:ilvl w:val="0"/>
          <w:numId w:val="1"/>
        </w:numPr>
        <w:ind w:firstLineChars="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三亚市物业信息和白蚁防治中心</w:t>
      </w:r>
      <w:r>
        <w:rPr>
          <w:rFonts w:ascii="Times New Roman" w:hAnsi="Times New Roman" w:eastAsia="黑体" w:cs="Times New Roman"/>
          <w:sz w:val="32"/>
          <w:szCs w:val="32"/>
          <w:highlight w:val="none"/>
        </w:rPr>
        <w:t>2022</w:t>
      </w:r>
      <w:r>
        <w:rPr>
          <w:rFonts w:hint="eastAsia" w:ascii="Times New Roman" w:hAnsi="Times New Roman" w:eastAsia="黑体" w:cs="Times New Roman"/>
          <w:sz w:val="32"/>
          <w:szCs w:val="32"/>
          <w:highlight w:val="none"/>
        </w:rPr>
        <w:t>年</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黑体" w:cs="Times New Roman"/>
          <w:sz w:val="32"/>
          <w:szCs w:val="32"/>
          <w:highlight w:val="none"/>
        </w:rPr>
        <w:t>预算表</w:t>
      </w:r>
    </w:p>
    <w:p>
      <w:pPr>
        <w:pStyle w:val="7"/>
        <w:numPr>
          <w:ilvl w:val="0"/>
          <w:numId w:val="3"/>
        </w:numPr>
        <w:ind w:firstLineChars="0"/>
        <w:rPr>
          <w:rFonts w:hint="default" w:ascii="Times New Roman" w:hAnsi="Times New Roman" w:eastAsia="Times New Roman" w:cs="Times New Roman"/>
          <w:sz w:val="32"/>
          <w:szCs w:val="32"/>
          <w:highlight w:val="none"/>
        </w:rPr>
      </w:pPr>
      <w:r>
        <w:rPr>
          <w:rFonts w:hint="default" w:ascii="Times New Roman" w:hAnsi="Times New Roman" w:cs="Times New Roman"/>
          <w:sz w:val="32"/>
          <w:szCs w:val="32"/>
          <w:highlight w:val="none"/>
        </w:rPr>
        <w:t>财政拨款收支总表</w:t>
      </w:r>
    </w:p>
    <w:p>
      <w:pPr>
        <w:pStyle w:val="7"/>
        <w:numPr>
          <w:ilvl w:val="0"/>
          <w:numId w:val="3"/>
        </w:numPr>
        <w:ind w:firstLineChars="0"/>
        <w:rPr>
          <w:rFonts w:hint="default" w:ascii="Times New Roman" w:hAnsi="Times New Roman" w:eastAsia="Times New Roman" w:cs="Times New Roman"/>
          <w:sz w:val="32"/>
          <w:szCs w:val="32"/>
          <w:highlight w:val="none"/>
        </w:rPr>
      </w:pPr>
      <w:r>
        <w:rPr>
          <w:rFonts w:hint="default" w:ascii="Times New Roman" w:hAnsi="Times New Roman" w:cs="Times New Roman"/>
          <w:sz w:val="32"/>
          <w:szCs w:val="32"/>
          <w:highlight w:val="none"/>
        </w:rPr>
        <w:t>一般公共预算支出表</w:t>
      </w:r>
    </w:p>
    <w:p>
      <w:pPr>
        <w:pStyle w:val="7"/>
        <w:numPr>
          <w:ilvl w:val="0"/>
          <w:numId w:val="3"/>
        </w:numPr>
        <w:ind w:firstLineChars="0"/>
        <w:rPr>
          <w:rFonts w:hint="default" w:ascii="Times New Roman" w:hAnsi="Times New Roman" w:eastAsia="Times New Roman" w:cs="Times New Roman"/>
          <w:sz w:val="32"/>
          <w:szCs w:val="32"/>
          <w:highlight w:val="none"/>
        </w:rPr>
      </w:pPr>
      <w:r>
        <w:rPr>
          <w:rFonts w:hint="default" w:ascii="Times New Roman" w:hAnsi="Times New Roman" w:cs="Times New Roman"/>
          <w:sz w:val="32"/>
          <w:szCs w:val="32"/>
          <w:highlight w:val="none"/>
        </w:rPr>
        <w:t>一般公共预算基本支出表</w:t>
      </w:r>
    </w:p>
    <w:p>
      <w:pPr>
        <w:pStyle w:val="7"/>
        <w:numPr>
          <w:ilvl w:val="0"/>
          <w:numId w:val="3"/>
        </w:numPr>
        <w:ind w:firstLineChars="0"/>
        <w:rPr>
          <w:rFonts w:hint="default" w:ascii="Times New Roman" w:hAnsi="Times New Roman" w:eastAsia="Times New Roman" w:cs="Times New Roman"/>
          <w:sz w:val="32"/>
          <w:szCs w:val="32"/>
          <w:highlight w:val="none"/>
        </w:rPr>
      </w:pPr>
      <w:r>
        <w:rPr>
          <w:rFonts w:hint="default" w:ascii="Times New Roman" w:hAnsi="Times New Roman" w:cs="Times New Roman"/>
          <w:sz w:val="32"/>
          <w:szCs w:val="32"/>
          <w:highlight w:val="none"/>
        </w:rPr>
        <w:t>一般公共预算</w:t>
      </w:r>
      <w:r>
        <w:rPr>
          <w:rFonts w:hint="default" w:ascii="Times New Roman" w:hAnsi="Times New Roman" w:eastAsia="Times New Roman" w:cs="Times New Roman"/>
          <w:sz w:val="32"/>
          <w:szCs w:val="32"/>
          <w:highlight w:val="none"/>
        </w:rPr>
        <w:t>“</w:t>
      </w:r>
      <w:r>
        <w:rPr>
          <w:rFonts w:hint="default" w:ascii="Times New Roman" w:hAnsi="Times New Roman" w:cs="Times New Roman"/>
          <w:sz w:val="32"/>
          <w:szCs w:val="32"/>
          <w:highlight w:val="none"/>
        </w:rPr>
        <w:t>三公</w:t>
      </w:r>
      <w:r>
        <w:rPr>
          <w:rFonts w:hint="default" w:ascii="Times New Roman" w:hAnsi="Times New Roman" w:eastAsia="Times New Roman" w:cs="Times New Roman"/>
          <w:sz w:val="32"/>
          <w:szCs w:val="32"/>
          <w:highlight w:val="none"/>
        </w:rPr>
        <w:t>”</w:t>
      </w:r>
      <w:r>
        <w:rPr>
          <w:rFonts w:hint="default" w:ascii="Times New Roman" w:hAnsi="Times New Roman" w:cs="Times New Roman"/>
          <w:sz w:val="32"/>
          <w:szCs w:val="32"/>
          <w:highlight w:val="none"/>
        </w:rPr>
        <w:t>经费支出表</w:t>
      </w:r>
    </w:p>
    <w:p>
      <w:pPr>
        <w:pStyle w:val="7"/>
        <w:numPr>
          <w:ilvl w:val="0"/>
          <w:numId w:val="3"/>
        </w:numPr>
        <w:ind w:firstLineChars="0"/>
        <w:rPr>
          <w:rFonts w:hint="default" w:ascii="Times New Roman" w:hAnsi="Times New Roman" w:eastAsia="Times New Roman" w:cs="Times New Roman"/>
          <w:sz w:val="32"/>
          <w:szCs w:val="32"/>
          <w:highlight w:val="none"/>
        </w:rPr>
      </w:pPr>
      <w:r>
        <w:rPr>
          <w:rFonts w:hint="default" w:ascii="Times New Roman" w:hAnsi="Times New Roman" w:cs="Times New Roman"/>
          <w:sz w:val="32"/>
          <w:szCs w:val="32"/>
          <w:highlight w:val="none"/>
        </w:rPr>
        <w:t>政府性基金预算支出表。</w:t>
      </w:r>
    </w:p>
    <w:p>
      <w:pPr>
        <w:pStyle w:val="7"/>
        <w:numPr>
          <w:ilvl w:val="0"/>
          <w:numId w:val="3"/>
        </w:numPr>
        <w:ind w:firstLineChars="0"/>
        <w:rPr>
          <w:rFonts w:hint="default" w:ascii="Times New Roman" w:hAnsi="Times New Roman" w:eastAsia="Times New Roman" w:cs="Times New Roman"/>
          <w:sz w:val="32"/>
          <w:szCs w:val="32"/>
          <w:highlight w:val="none"/>
        </w:rPr>
      </w:pPr>
      <w:r>
        <w:rPr>
          <w:rFonts w:hint="default" w:ascii="Times New Roman" w:hAnsi="Times New Roman" w:cs="Times New Roman"/>
          <w:sz w:val="32"/>
          <w:szCs w:val="32"/>
          <w:highlight w:val="none"/>
        </w:rPr>
        <w:t>政府性基金预算</w:t>
      </w:r>
      <w:r>
        <w:rPr>
          <w:rFonts w:hint="default" w:ascii="Times New Roman" w:hAnsi="Times New Roman" w:eastAsia="Times New Roman" w:cs="Times New Roman"/>
          <w:sz w:val="32"/>
          <w:szCs w:val="32"/>
          <w:highlight w:val="none"/>
        </w:rPr>
        <w:t>“</w:t>
      </w:r>
      <w:r>
        <w:rPr>
          <w:rFonts w:hint="default" w:ascii="Times New Roman" w:hAnsi="Times New Roman" w:cs="Times New Roman"/>
          <w:sz w:val="32"/>
          <w:szCs w:val="32"/>
          <w:highlight w:val="none"/>
        </w:rPr>
        <w:t>三公</w:t>
      </w:r>
      <w:r>
        <w:rPr>
          <w:rFonts w:hint="default" w:ascii="Times New Roman" w:hAnsi="Times New Roman" w:eastAsia="Times New Roman" w:cs="Times New Roman"/>
          <w:sz w:val="32"/>
          <w:szCs w:val="32"/>
          <w:highlight w:val="none"/>
        </w:rPr>
        <w:t>”</w:t>
      </w:r>
      <w:r>
        <w:rPr>
          <w:rFonts w:hint="default" w:ascii="Times New Roman" w:hAnsi="Times New Roman" w:cs="Times New Roman"/>
          <w:sz w:val="32"/>
          <w:szCs w:val="32"/>
          <w:highlight w:val="none"/>
        </w:rPr>
        <w:t>经费支出表</w:t>
      </w:r>
    </w:p>
    <w:p>
      <w:pPr>
        <w:pStyle w:val="7"/>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cs="Times New Roman"/>
          <w:sz w:val="32"/>
          <w:szCs w:val="32"/>
          <w:highlight w:val="none"/>
          <w:lang w:eastAsia="zh-CN"/>
        </w:rPr>
        <w:t>单位</w:t>
      </w:r>
      <w:r>
        <w:rPr>
          <w:rFonts w:hint="default" w:ascii="Times New Roman" w:hAnsi="Times New Roman" w:cs="Times New Roman"/>
          <w:sz w:val="32"/>
          <w:szCs w:val="32"/>
          <w:highlight w:val="none"/>
        </w:rPr>
        <w:t>收支总表</w:t>
      </w:r>
    </w:p>
    <w:p>
      <w:pPr>
        <w:pStyle w:val="7"/>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cs="Times New Roman"/>
          <w:sz w:val="32"/>
          <w:szCs w:val="32"/>
          <w:highlight w:val="none"/>
          <w:lang w:eastAsia="zh-CN"/>
        </w:rPr>
        <w:t>单位</w:t>
      </w:r>
      <w:r>
        <w:rPr>
          <w:rFonts w:hint="default" w:ascii="Times New Roman" w:hAnsi="Times New Roman" w:cs="Times New Roman"/>
          <w:sz w:val="32"/>
          <w:szCs w:val="32"/>
          <w:highlight w:val="none"/>
        </w:rPr>
        <w:t>收入总表</w:t>
      </w:r>
    </w:p>
    <w:p>
      <w:pPr>
        <w:pStyle w:val="7"/>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cs="Times New Roman"/>
          <w:sz w:val="32"/>
          <w:szCs w:val="32"/>
          <w:highlight w:val="none"/>
          <w:lang w:eastAsia="zh-CN"/>
        </w:rPr>
        <w:t>单位</w:t>
      </w:r>
      <w:r>
        <w:rPr>
          <w:rFonts w:hint="default" w:ascii="Times New Roman" w:hAnsi="Times New Roman" w:cs="Times New Roman"/>
          <w:sz w:val="32"/>
          <w:szCs w:val="32"/>
          <w:highlight w:val="none"/>
        </w:rPr>
        <w:t>支出总表</w:t>
      </w:r>
    </w:p>
    <w:p>
      <w:pPr>
        <w:pStyle w:val="7"/>
        <w:numPr>
          <w:ilvl w:val="0"/>
          <w:numId w:val="3"/>
        </w:numPr>
        <w:ind w:firstLineChars="0"/>
        <w:jc w:val="left"/>
        <w:rPr>
          <w:rFonts w:hint="default" w:ascii="Times New Roman" w:hAnsi="Times New Roman" w:eastAsia="黑体" w:cs="Times New Roman"/>
          <w:sz w:val="32"/>
          <w:szCs w:val="32"/>
          <w:highlight w:val="none"/>
        </w:rPr>
      </w:pPr>
      <w:r>
        <w:rPr>
          <w:rFonts w:hint="default" w:ascii="Times New Roman" w:hAnsi="Times New Roman" w:cs="Times New Roman"/>
          <w:sz w:val="32"/>
          <w:szCs w:val="32"/>
          <w:highlight w:val="none"/>
        </w:rPr>
        <w:t>项目支出绩效信息表</w:t>
      </w:r>
    </w:p>
    <w:p>
      <w:pPr>
        <w:pStyle w:val="7"/>
        <w:numPr>
          <w:ilvl w:val="0"/>
          <w:numId w:val="1"/>
        </w:numPr>
        <w:ind w:firstLineChars="0"/>
        <w:jc w:val="left"/>
        <w:rPr>
          <w:rFonts w:ascii="Times New Roman" w:hAnsi="Times New Roman" w:eastAsia="Times New Roman" w:cs="Times New Roman"/>
          <w:sz w:val="32"/>
          <w:szCs w:val="32"/>
          <w:highlight w:val="none"/>
        </w:rPr>
      </w:pPr>
      <w:r>
        <w:rPr>
          <w:rFonts w:hint="eastAsia" w:ascii="Times New Roman" w:hAnsi="Times New Roman" w:eastAsia="黑体" w:cs="Times New Roman"/>
          <w:sz w:val="32"/>
          <w:szCs w:val="32"/>
          <w:highlight w:val="none"/>
        </w:rPr>
        <w:t>三亚市物业信息和白蚁防治中心</w:t>
      </w:r>
      <w:r>
        <w:rPr>
          <w:rFonts w:ascii="Times New Roman" w:hAnsi="Times New Roman" w:eastAsia="黑体" w:cs="Times New Roman"/>
          <w:sz w:val="32"/>
          <w:szCs w:val="32"/>
          <w:highlight w:val="none"/>
        </w:rPr>
        <w:t>2022</w:t>
      </w:r>
      <w:r>
        <w:rPr>
          <w:rFonts w:hint="eastAsia" w:ascii="Times New Roman" w:hAnsi="Times New Roman" w:eastAsia="黑体" w:cs="Times New Roman"/>
          <w:sz w:val="32"/>
          <w:szCs w:val="32"/>
          <w:highlight w:val="none"/>
        </w:rPr>
        <w:t>年</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黑体" w:cs="Times New Roman"/>
          <w:sz w:val="32"/>
          <w:szCs w:val="32"/>
          <w:highlight w:val="none"/>
        </w:rPr>
        <w:t>预算情况说明</w:t>
      </w:r>
    </w:p>
    <w:p>
      <w:pPr>
        <w:pStyle w:val="7"/>
        <w:numPr>
          <w:ilvl w:val="0"/>
          <w:numId w:val="1"/>
        </w:numPr>
        <w:ind w:firstLineChars="0"/>
        <w:jc w:val="left"/>
        <w:rPr>
          <w:rFonts w:ascii="Times New Roman" w:hAnsi="Times New Roman" w:eastAsia="Times New Roman" w:cs="Times New Roman"/>
          <w:sz w:val="32"/>
          <w:szCs w:val="32"/>
          <w:highlight w:val="none"/>
        </w:rPr>
      </w:pPr>
      <w:r>
        <w:rPr>
          <w:rFonts w:hint="eastAsia" w:ascii="Times New Roman" w:hAnsi="Times New Roman" w:eastAsia="黑体" w:cs="Times New Roman"/>
          <w:sz w:val="32"/>
          <w:szCs w:val="32"/>
          <w:highlight w:val="none"/>
        </w:rPr>
        <w:t>名词解释</w:t>
      </w:r>
    </w:p>
    <w:p>
      <w:pPr>
        <w:pStyle w:val="7"/>
        <w:ind w:left="1320" w:firstLine="0" w:firstLineChars="0"/>
        <w:jc w:val="left"/>
        <w:rPr>
          <w:rFonts w:ascii="Times New Roman" w:hAnsi="Times New Roman" w:eastAsia="黑体" w:cs="Times New Roman"/>
          <w:sz w:val="32"/>
          <w:szCs w:val="32"/>
          <w:highlight w:val="none"/>
        </w:rPr>
      </w:pPr>
    </w:p>
    <w:p>
      <w:pPr>
        <w:jc w:val="left"/>
        <w:rPr>
          <w:rFonts w:ascii="Times New Roman" w:hAnsi="Times New Roman" w:eastAsia="黑体" w:cs="Times New Roman"/>
          <w:sz w:val="32"/>
          <w:szCs w:val="32"/>
          <w:highlight w:val="none"/>
        </w:rPr>
      </w:pPr>
    </w:p>
    <w:p>
      <w:pPr>
        <w:jc w:val="left"/>
        <w:rPr>
          <w:rFonts w:ascii="Times New Roman" w:hAnsi="Times New Roman" w:eastAsia="黑体" w:cs="Times New Roman"/>
          <w:sz w:val="32"/>
          <w:szCs w:val="32"/>
          <w:highlight w:val="none"/>
        </w:rPr>
      </w:pPr>
    </w:p>
    <w:p>
      <w:pPr>
        <w:jc w:val="left"/>
        <w:rPr>
          <w:rFonts w:ascii="Times New Roman" w:hAnsi="Times New Roman" w:eastAsia="黑体" w:cs="Times New Roman"/>
          <w:sz w:val="32"/>
          <w:szCs w:val="32"/>
          <w:highlight w:val="none"/>
        </w:rPr>
      </w:pPr>
    </w:p>
    <w:p>
      <w:pPr>
        <w:pStyle w:val="7"/>
        <w:numPr>
          <w:ilvl w:val="0"/>
          <w:numId w:val="4"/>
        </w:numPr>
        <w:ind w:firstLineChars="0"/>
        <w:jc w:val="center"/>
        <w:rPr>
          <w:rFonts w:ascii="Times New Roman" w:hAnsi="Times New Roman" w:eastAsia="Times New Roman" w:cs="Times New Roman"/>
          <w:sz w:val="32"/>
          <w:szCs w:val="32"/>
          <w:highlight w:val="none"/>
        </w:rPr>
      </w:pPr>
      <w:r>
        <w:rPr>
          <w:rFonts w:hint="eastAsia" w:ascii="Times New Roman" w:hAnsi="Times New Roman" w:eastAsia="黑体" w:cs="Times New Roman"/>
          <w:sz w:val="32"/>
          <w:szCs w:val="32"/>
          <w:highlight w:val="none"/>
        </w:rPr>
        <w:t>三亚市物业信息和白蚁防治中心概况</w:t>
      </w:r>
    </w:p>
    <w:p>
      <w:pPr>
        <w:pStyle w:val="7"/>
        <w:numPr>
          <w:ilvl w:val="0"/>
          <w:numId w:val="5"/>
        </w:numPr>
        <w:ind w:firstLineChars="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主要职能</w:t>
      </w:r>
    </w:p>
    <w:p>
      <w:pPr>
        <w:ind w:firstLine="640" w:firstLineChars="200"/>
        <w:rPr>
          <w:rFonts w:ascii="Times New Roman" w:hAnsi="Times New Roman" w:eastAsia="Times New Roman"/>
          <w:sz w:val="32"/>
          <w:szCs w:val="32"/>
          <w:highlight w:val="none"/>
        </w:rPr>
      </w:pPr>
      <w:r>
        <w:rPr>
          <w:rFonts w:hint="eastAsia" w:ascii="宋体" w:hAnsi="宋体" w:cs="宋体"/>
          <w:sz w:val="32"/>
          <w:szCs w:val="32"/>
          <w:highlight w:val="none"/>
        </w:rPr>
        <w:t>负责物业管理信息平台的构建及维护；负责全市物业管理活动信息的收集、统计、公示与咨询服务；协助有关</w:t>
      </w:r>
      <w:r>
        <w:rPr>
          <w:rFonts w:hint="eastAsia" w:ascii="宋体" w:hAnsi="宋体" w:cs="宋体"/>
          <w:sz w:val="32"/>
          <w:szCs w:val="32"/>
          <w:highlight w:val="none"/>
          <w:lang w:eastAsia="zh-CN"/>
        </w:rPr>
        <w:t>单位</w:t>
      </w:r>
      <w:r>
        <w:rPr>
          <w:rFonts w:hint="eastAsia" w:ascii="宋体" w:hAnsi="宋体" w:cs="宋体"/>
          <w:sz w:val="32"/>
          <w:szCs w:val="32"/>
          <w:highlight w:val="none"/>
        </w:rPr>
        <w:t>制定本市白蚁防治规定、政策及标准，负责本市白蚁蚁情的调查并及时上报，组织开展白蚁防治的科学研究，推广应用白蚁防治新药物、新技术、新工艺；参与对白蚁防治行业的指导工作，负责检查检测房屋、公共场所、基础设施设备的白蚁预防和灭治；协助主管</w:t>
      </w:r>
      <w:r>
        <w:rPr>
          <w:rFonts w:hint="eastAsia" w:ascii="宋体" w:hAnsi="宋体" w:cs="宋体"/>
          <w:sz w:val="32"/>
          <w:szCs w:val="32"/>
          <w:highlight w:val="none"/>
          <w:lang w:eastAsia="zh-CN"/>
        </w:rPr>
        <w:t>单位</w:t>
      </w:r>
      <w:r>
        <w:rPr>
          <w:rFonts w:hint="eastAsia" w:ascii="宋体" w:hAnsi="宋体" w:cs="宋体"/>
          <w:sz w:val="32"/>
          <w:szCs w:val="32"/>
          <w:highlight w:val="none"/>
        </w:rPr>
        <w:t>对白蚁防治的违规查处；承办上级</w:t>
      </w:r>
      <w:r>
        <w:rPr>
          <w:rFonts w:hint="eastAsia" w:ascii="宋体" w:hAnsi="宋体" w:cs="宋体"/>
          <w:sz w:val="32"/>
          <w:szCs w:val="32"/>
          <w:highlight w:val="none"/>
          <w:lang w:eastAsia="zh-CN"/>
        </w:rPr>
        <w:t>单位</w:t>
      </w:r>
      <w:r>
        <w:rPr>
          <w:rFonts w:hint="eastAsia" w:ascii="宋体" w:hAnsi="宋体" w:cs="宋体"/>
          <w:sz w:val="32"/>
          <w:szCs w:val="32"/>
          <w:highlight w:val="none"/>
        </w:rPr>
        <w:t>和领导交办的其他工作。</w:t>
      </w:r>
    </w:p>
    <w:p>
      <w:pPr>
        <w:pStyle w:val="7"/>
        <w:numPr>
          <w:ilvl w:val="0"/>
          <w:numId w:val="5"/>
        </w:numPr>
        <w:ind w:firstLineChars="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单位</w:t>
      </w:r>
      <w:r>
        <w:rPr>
          <w:rFonts w:hint="eastAsia" w:ascii="Times New Roman" w:hAnsi="Times New Roman" w:eastAsia="黑体" w:cs="Times New Roman"/>
          <w:sz w:val="32"/>
          <w:szCs w:val="32"/>
          <w:highlight w:val="none"/>
        </w:rPr>
        <w:t>预算单位构成</w:t>
      </w:r>
    </w:p>
    <w:p>
      <w:pPr>
        <w:ind w:firstLine="800" w:firstLineChars="250"/>
        <w:jc w:val="left"/>
        <w:rPr>
          <w:rFonts w:hint="eastAsia" w:ascii="宋体" w:hAnsi="宋体" w:eastAsia="宋体" w:cs="宋体"/>
          <w:sz w:val="32"/>
          <w:szCs w:val="32"/>
          <w:highlight w:val="none"/>
          <w:lang w:eastAsia="zh-CN"/>
        </w:rPr>
      </w:pPr>
      <w:r>
        <w:rPr>
          <w:rFonts w:hint="eastAsia" w:ascii="宋体" w:hAnsi="宋体" w:cs="宋体"/>
          <w:sz w:val="32"/>
          <w:szCs w:val="32"/>
          <w:highlight w:val="none"/>
          <w:lang w:eastAsia="zh-CN"/>
        </w:rPr>
        <w:t>三亚市物业信息和白蚁防治中心内设</w:t>
      </w:r>
      <w:r>
        <w:rPr>
          <w:rFonts w:hint="eastAsia" w:ascii="宋体" w:hAnsi="宋体" w:cs="宋体"/>
          <w:sz w:val="32"/>
          <w:szCs w:val="32"/>
          <w:highlight w:val="none"/>
          <w:lang w:val="en-US" w:eastAsia="zh-CN"/>
        </w:rPr>
        <w:t>4个职能部门，分别为：综合部、物业监督部、维修资金监管部、财务部。</w:t>
      </w:r>
    </w:p>
    <w:p>
      <w:pPr>
        <w:ind w:firstLine="800" w:firstLineChars="250"/>
        <w:jc w:val="left"/>
        <w:rPr>
          <w:rFonts w:hint="eastAsia" w:ascii="宋体" w:hAnsi="宋体" w:cs="宋体"/>
          <w:sz w:val="32"/>
          <w:szCs w:val="32"/>
          <w:highlight w:val="none"/>
        </w:rPr>
      </w:pPr>
      <w:r>
        <w:rPr>
          <w:rFonts w:hint="eastAsia" w:ascii="宋体" w:hAnsi="宋体" w:cs="宋体"/>
          <w:sz w:val="32"/>
          <w:szCs w:val="32"/>
          <w:highlight w:val="none"/>
        </w:rPr>
        <w:t>三亚</w:t>
      </w:r>
      <w:r>
        <w:rPr>
          <w:rFonts w:hint="eastAsia" w:ascii="宋体" w:hAnsi="宋体" w:cs="宋体"/>
          <w:kern w:val="0"/>
          <w:sz w:val="32"/>
          <w:szCs w:val="32"/>
          <w:highlight w:val="none"/>
        </w:rPr>
        <w:t>市物业信息和白蚁防治中心</w:t>
      </w:r>
      <w:r>
        <w:rPr>
          <w:rFonts w:hint="eastAsia" w:ascii="宋体" w:hAnsi="宋体" w:cs="宋体"/>
          <w:sz w:val="32"/>
          <w:szCs w:val="32"/>
          <w:highlight w:val="none"/>
        </w:rPr>
        <w:t>纳入三亚市住房和城乡建设局</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w:t>
      </w:r>
      <w:r>
        <w:rPr>
          <w:rFonts w:hint="eastAsia" w:ascii="宋体" w:hAnsi="宋体" w:cs="宋体"/>
          <w:sz w:val="32"/>
          <w:szCs w:val="32"/>
          <w:highlight w:val="none"/>
          <w:lang w:eastAsia="zh-CN"/>
        </w:rPr>
        <w:t>单位</w:t>
      </w:r>
      <w:r>
        <w:rPr>
          <w:rFonts w:hint="eastAsia" w:ascii="宋体" w:hAnsi="宋体" w:cs="宋体"/>
          <w:sz w:val="32"/>
          <w:szCs w:val="32"/>
          <w:highlight w:val="none"/>
        </w:rPr>
        <w:t>预算编制二级预算。</w:t>
      </w:r>
    </w:p>
    <w:p>
      <w:pPr>
        <w:ind w:firstLine="640" w:firstLineChars="200"/>
        <w:rPr>
          <w:rFonts w:ascii="Times New Roman" w:hAnsi="Times New Roman" w:eastAsia="黑体" w:cs="Times New Roman"/>
          <w:sz w:val="32"/>
          <w:szCs w:val="32"/>
          <w:highlight w:val="none"/>
        </w:rPr>
      </w:pPr>
      <w:bookmarkStart w:id="0" w:name="_GoBack"/>
      <w:bookmarkEnd w:id="0"/>
      <w:r>
        <w:rPr>
          <w:rFonts w:hint="eastAsia" w:ascii="Times New Roman" w:hAnsi="Times New Roman" w:eastAsia="黑体" w:cs="Times New Roman"/>
          <w:sz w:val="32"/>
          <w:szCs w:val="32"/>
          <w:highlight w:val="none"/>
        </w:rPr>
        <w:t>第二部分三亚市物业信息和白蚁防治中心</w:t>
      </w:r>
      <w:r>
        <w:rPr>
          <w:rFonts w:ascii="Times New Roman" w:hAnsi="Times New Roman" w:eastAsia="黑体" w:cs="Times New Roman"/>
          <w:sz w:val="32"/>
          <w:szCs w:val="32"/>
          <w:highlight w:val="none"/>
        </w:rPr>
        <w:t>2022</w:t>
      </w:r>
      <w:r>
        <w:rPr>
          <w:rFonts w:hint="eastAsia" w:ascii="Times New Roman" w:hAnsi="Times New Roman" w:eastAsia="黑体" w:cs="Times New Roman"/>
          <w:sz w:val="32"/>
          <w:szCs w:val="32"/>
          <w:highlight w:val="none"/>
        </w:rPr>
        <w:t>年</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黑体" w:cs="Times New Roman"/>
          <w:sz w:val="32"/>
          <w:szCs w:val="32"/>
          <w:highlight w:val="none"/>
        </w:rPr>
        <w:t>预算表</w:t>
      </w:r>
    </w:p>
    <w:p>
      <w:pPr>
        <w:ind w:left="800"/>
        <w:jc w:val="left"/>
        <w:rPr>
          <w:rFonts w:ascii="Times New Roman" w:hAnsi="Times New Roman" w:eastAsia="黑体" w:cs="Times New Roman"/>
          <w:sz w:val="32"/>
          <w:szCs w:val="32"/>
          <w:highlight w:val="none"/>
        </w:rPr>
      </w:pPr>
    </w:p>
    <w:p>
      <w:pPr>
        <w:ind w:left="800"/>
        <w:jc w:val="center"/>
        <w:rPr>
          <w:rFonts w:ascii="Times New Roman" w:hAnsi="Times New Roman" w:eastAsia="Times New Roman" w:cs="Times New Roman"/>
          <w:b/>
          <w:sz w:val="32"/>
          <w:szCs w:val="32"/>
          <w:highlight w:val="none"/>
        </w:rPr>
      </w:pPr>
      <w:r>
        <w:rPr>
          <w:rFonts w:hint="eastAsia" w:ascii="宋体" w:hAnsi="宋体" w:cs="宋体"/>
          <w:b/>
          <w:sz w:val="32"/>
          <w:szCs w:val="32"/>
          <w:highlight w:val="none"/>
        </w:rPr>
        <w:t>（此部分内容即为</w:t>
      </w:r>
      <w:r>
        <w:rPr>
          <w:rFonts w:hint="eastAsia" w:ascii="宋体" w:hAnsi="宋体" w:cs="宋体"/>
          <w:b/>
          <w:sz w:val="32"/>
          <w:szCs w:val="32"/>
          <w:highlight w:val="none"/>
          <w:lang w:eastAsia="zh-CN"/>
        </w:rPr>
        <w:t>单位</w:t>
      </w:r>
      <w:r>
        <w:rPr>
          <w:rFonts w:hint="eastAsia" w:ascii="宋体" w:hAnsi="宋体" w:cs="宋体"/>
          <w:b/>
          <w:sz w:val="32"/>
          <w:szCs w:val="32"/>
          <w:highlight w:val="none"/>
        </w:rPr>
        <w:t>预算公开表）</w:t>
      </w:r>
    </w:p>
    <w:p>
      <w:pPr>
        <w:rPr>
          <w:rFonts w:ascii="Times New Roman" w:hAnsi="Times New Roman" w:eastAsia="黑体" w:cs="Times New Roman"/>
          <w:sz w:val="32"/>
          <w:szCs w:val="32"/>
          <w:highlight w:val="none"/>
        </w:rPr>
      </w:pPr>
    </w:p>
    <w:p>
      <w:pPr>
        <w:ind w:firstLine="480" w:firstLineChars="15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第三部分三亚市物业信息和白蚁防治中心</w:t>
      </w:r>
      <w:r>
        <w:rPr>
          <w:rFonts w:ascii="Times New Roman" w:hAnsi="Times New Roman" w:eastAsia="黑体" w:cs="Times New Roman"/>
          <w:sz w:val="32"/>
          <w:szCs w:val="32"/>
          <w:highlight w:val="none"/>
        </w:rPr>
        <w:t>2022</w:t>
      </w:r>
      <w:r>
        <w:rPr>
          <w:rFonts w:hint="eastAsia" w:ascii="Times New Roman" w:hAnsi="Times New Roman" w:eastAsia="黑体" w:cs="Times New Roman"/>
          <w:sz w:val="32"/>
          <w:szCs w:val="32"/>
          <w:highlight w:val="none"/>
        </w:rPr>
        <w:t>年</w:t>
      </w:r>
      <w:r>
        <w:rPr>
          <w:rFonts w:hint="eastAsia" w:ascii="Times New Roman" w:hAnsi="Times New Roman" w:eastAsia="黑体" w:cs="Times New Roman"/>
          <w:sz w:val="32"/>
          <w:szCs w:val="32"/>
          <w:highlight w:val="none"/>
          <w:lang w:eastAsia="zh-CN"/>
        </w:rPr>
        <w:t>单位</w:t>
      </w:r>
      <w:r>
        <w:rPr>
          <w:rFonts w:hint="eastAsia" w:ascii="Times New Roman" w:hAnsi="Times New Roman" w:eastAsia="黑体" w:cs="Times New Roman"/>
          <w:sz w:val="32"/>
          <w:szCs w:val="32"/>
          <w:highlight w:val="none"/>
        </w:rPr>
        <w:t>预算情况说明</w:t>
      </w:r>
    </w:p>
    <w:p>
      <w:pPr>
        <w:ind w:firstLine="640" w:firstLineChars="20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一、关于三亚市物业信息和白蚁防治中心</w:t>
      </w:r>
      <w:r>
        <w:rPr>
          <w:rFonts w:ascii="Times New Roman" w:hAnsi="Times New Roman" w:eastAsia="黑体" w:cs="Times New Roman"/>
          <w:sz w:val="32"/>
          <w:szCs w:val="32"/>
          <w:highlight w:val="none"/>
        </w:rPr>
        <w:t>2022</w:t>
      </w:r>
      <w:r>
        <w:rPr>
          <w:rFonts w:hint="eastAsia" w:ascii="Times New Roman" w:hAnsi="Times New Roman" w:eastAsia="黑体" w:cs="Times New Roman"/>
          <w:sz w:val="32"/>
          <w:szCs w:val="32"/>
          <w:highlight w:val="none"/>
        </w:rPr>
        <w:t>年财政拨款收支预算情况的总体说明</w:t>
      </w:r>
    </w:p>
    <w:p>
      <w:pPr>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三亚市物业信息和白蚁防治中心2022年财政拨款收支总预算369.5万元。其中，收入总计369.5万元，包括一般公共预算本年收入369.5万元、上年结转0万元，政府性基金预算本年收入0万元、上年结转0万元；支出总计369.5万元，包括文化旅游体育与传媒支出0万元、社会保障和就业支出0万元、卫生健康支出0万元、城乡社区支出369.5万元、住房保障支出0万元，结转下年0万元。</w:t>
      </w:r>
    </w:p>
    <w:p>
      <w:pPr>
        <w:ind w:firstLine="640"/>
        <w:jc w:val="lef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二、关</w:t>
      </w:r>
      <w:r>
        <w:rPr>
          <w:rFonts w:hint="eastAsia" w:ascii="黑体" w:hAnsi="黑体" w:eastAsia="黑体"/>
          <w:sz w:val="32"/>
          <w:szCs w:val="32"/>
          <w:highlight w:val="none"/>
        </w:rPr>
        <w:t>于三亚市物业信息和白蚁防治中心</w:t>
      </w:r>
      <w:r>
        <w:rPr>
          <w:rFonts w:ascii="黑体" w:hAnsi="黑体" w:eastAsia="黑体"/>
          <w:sz w:val="32"/>
          <w:szCs w:val="32"/>
          <w:highlight w:val="none"/>
        </w:rPr>
        <w:t>2022</w:t>
      </w:r>
      <w:r>
        <w:rPr>
          <w:rFonts w:hint="eastAsia" w:ascii="Times New Roman" w:hAnsi="Times New Roman" w:eastAsia="黑体" w:cs="Times New Roman"/>
          <w:sz w:val="32"/>
          <w:szCs w:val="32"/>
          <w:highlight w:val="none"/>
        </w:rPr>
        <w:t>年一般公共预算当年拨款情况说明</w:t>
      </w:r>
    </w:p>
    <w:p>
      <w:pPr>
        <w:ind w:firstLine="640"/>
        <w:jc w:val="left"/>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（一）一般公共预算当年规模变化情况</w:t>
      </w:r>
    </w:p>
    <w:p>
      <w:pPr>
        <w:ind w:firstLine="640" w:firstLineChars="200"/>
        <w:rPr>
          <w:rFonts w:ascii="Times New Roman" w:hAnsi="Times New Roman" w:eastAsia="Times New Roman" w:cs="Times New Roman"/>
          <w:sz w:val="32"/>
          <w:szCs w:val="32"/>
          <w:highlight w:val="none"/>
        </w:rPr>
      </w:pPr>
      <w:r>
        <w:rPr>
          <w:rFonts w:hint="eastAsia" w:ascii="宋体" w:hAnsi="宋体" w:cs="宋体"/>
          <w:sz w:val="32"/>
          <w:szCs w:val="32"/>
          <w:highlight w:val="none"/>
        </w:rPr>
        <w:t>三亚市物业信息和白蚁防治中心</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年一般公共预算当年拨款</w:t>
      </w:r>
      <w:r>
        <w:rPr>
          <w:rFonts w:ascii="Times New Roman" w:hAnsi="Times New Roman" w:eastAsia="Times New Roman" w:cs="Times New Roman"/>
          <w:sz w:val="32"/>
          <w:szCs w:val="32"/>
          <w:highlight w:val="none"/>
        </w:rPr>
        <w:t>369.5</w:t>
      </w:r>
      <w:r>
        <w:rPr>
          <w:rFonts w:hint="eastAsia" w:ascii="宋体" w:hAnsi="宋体" w:cs="宋体"/>
          <w:sz w:val="32"/>
          <w:szCs w:val="32"/>
          <w:highlight w:val="none"/>
        </w:rPr>
        <w:t>万元，比上年预算数增加</w:t>
      </w:r>
      <w:r>
        <w:rPr>
          <w:rFonts w:ascii="Times New Roman" w:hAnsi="Times New Roman" w:cs="Times New Roman"/>
          <w:sz w:val="32"/>
          <w:szCs w:val="32"/>
          <w:highlight w:val="none"/>
        </w:rPr>
        <w:t>72.5</w:t>
      </w:r>
      <w:r>
        <w:rPr>
          <w:rFonts w:hint="eastAsia" w:ascii="宋体" w:hAnsi="宋体" w:cs="宋体"/>
          <w:sz w:val="32"/>
          <w:szCs w:val="32"/>
          <w:highlight w:val="none"/>
        </w:rPr>
        <w:t>万元，主要原因是本单位增加项目预算。</w:t>
      </w:r>
    </w:p>
    <w:p>
      <w:pPr>
        <w:ind w:firstLine="640"/>
        <w:jc w:val="left"/>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（二）一般公共预算当年拨款结构情况</w:t>
      </w:r>
    </w:p>
    <w:p>
      <w:pPr>
        <w:ind w:firstLine="800" w:firstLineChars="250"/>
        <w:rPr>
          <w:rFonts w:ascii="Times New Roman" w:hAnsi="Times New Roman" w:eastAsia="Times New Roman" w:cs="Times New Roman"/>
          <w:sz w:val="32"/>
          <w:szCs w:val="32"/>
          <w:highlight w:val="none"/>
        </w:rPr>
      </w:pPr>
      <w:r>
        <w:rPr>
          <w:rFonts w:hint="eastAsia" w:ascii="宋体" w:hAnsi="宋体" w:cs="宋体"/>
          <w:sz w:val="32"/>
          <w:szCs w:val="32"/>
          <w:highlight w:val="none"/>
        </w:rPr>
        <w:t>城乡社区（类）支出</w:t>
      </w:r>
      <w:r>
        <w:rPr>
          <w:rFonts w:ascii="Times New Roman" w:hAnsi="Times New Roman" w:eastAsia="Times New Roman" w:cs="Times New Roman"/>
          <w:sz w:val="32"/>
          <w:szCs w:val="32"/>
          <w:highlight w:val="none"/>
        </w:rPr>
        <w:t>369.5</w:t>
      </w:r>
      <w:r>
        <w:rPr>
          <w:rFonts w:hint="eastAsia" w:ascii="宋体" w:hAnsi="宋体" w:cs="宋体"/>
          <w:sz w:val="32"/>
          <w:szCs w:val="32"/>
          <w:highlight w:val="none"/>
        </w:rPr>
        <w:t>万元，占</w:t>
      </w:r>
      <w:r>
        <w:rPr>
          <w:rFonts w:ascii="Times New Roman" w:hAnsi="Times New Roman" w:eastAsia="Times New Roman" w:cs="Times New Roman"/>
          <w:sz w:val="32"/>
          <w:szCs w:val="32"/>
          <w:highlight w:val="none"/>
        </w:rPr>
        <w:t>100%</w:t>
      </w:r>
      <w:r>
        <w:rPr>
          <w:rFonts w:hint="eastAsia" w:ascii="宋体" w:hAnsi="宋体" w:cs="宋体"/>
          <w:sz w:val="32"/>
          <w:szCs w:val="32"/>
          <w:highlight w:val="none"/>
        </w:rPr>
        <w:t>。</w:t>
      </w:r>
    </w:p>
    <w:p>
      <w:pPr>
        <w:ind w:firstLine="640"/>
        <w:jc w:val="left"/>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（三）一般公共预算当年拨款具体使用情况</w:t>
      </w:r>
    </w:p>
    <w:p>
      <w:pPr>
        <w:ind w:firstLine="640" w:firstLineChars="200"/>
        <w:rPr>
          <w:rFonts w:ascii="Times New Roman" w:hAnsi="Times New Roman" w:eastAsia="Times New Roman" w:cs="Times New Roman"/>
          <w:sz w:val="32"/>
          <w:szCs w:val="32"/>
          <w:highlight w:val="none"/>
        </w:rPr>
      </w:pPr>
      <w:r>
        <w:rPr>
          <w:rFonts w:ascii="Times New Roman" w:hAnsi="Times New Roman" w:eastAsia="Times New Roman" w:cs="Times New Roman"/>
          <w:sz w:val="32"/>
          <w:szCs w:val="32"/>
          <w:highlight w:val="none"/>
        </w:rPr>
        <w:t>1.</w:t>
      </w:r>
      <w:r>
        <w:rPr>
          <w:rFonts w:hint="eastAsia" w:ascii="宋体" w:hAnsi="宋体" w:cs="宋体"/>
          <w:sz w:val="32"/>
          <w:szCs w:val="32"/>
          <w:highlight w:val="none"/>
        </w:rPr>
        <w:t>城乡社区</w:t>
      </w:r>
      <w:r>
        <w:rPr>
          <w:rFonts w:ascii="Times New Roman" w:hAnsi="Times New Roman" w:eastAsia="Times New Roman" w:cs="Times New Roman"/>
          <w:sz w:val="32"/>
          <w:szCs w:val="32"/>
          <w:highlight w:val="none"/>
        </w:rPr>
        <w:t>(</w:t>
      </w:r>
      <w:r>
        <w:rPr>
          <w:rFonts w:hint="eastAsia" w:ascii="宋体" w:hAnsi="宋体" w:cs="宋体"/>
          <w:sz w:val="32"/>
          <w:szCs w:val="32"/>
          <w:highlight w:val="none"/>
        </w:rPr>
        <w:t>类</w:t>
      </w:r>
      <w:r>
        <w:rPr>
          <w:rFonts w:ascii="Times New Roman" w:hAnsi="Times New Roman" w:eastAsia="Times New Roman" w:cs="Times New Roman"/>
          <w:sz w:val="32"/>
          <w:szCs w:val="32"/>
          <w:highlight w:val="none"/>
        </w:rPr>
        <w:t>)</w:t>
      </w:r>
    </w:p>
    <w:p>
      <w:pPr>
        <w:ind w:firstLine="640" w:firstLineChars="200"/>
        <w:rPr>
          <w:rFonts w:ascii="Times New Roman" w:hAnsi="Times New Roman" w:eastAsia="Times New Roman" w:cs="Times New Roman"/>
          <w:sz w:val="32"/>
          <w:szCs w:val="32"/>
          <w:highlight w:val="none"/>
        </w:rPr>
      </w:pPr>
      <w:r>
        <w:rPr>
          <w:rFonts w:ascii="Times New Roman" w:hAnsi="Times New Roman" w:eastAsia="Times New Roman" w:cs="Times New Roman"/>
          <w:sz w:val="32"/>
          <w:szCs w:val="32"/>
          <w:highlight w:val="none"/>
        </w:rPr>
        <w:t>(1)</w:t>
      </w:r>
      <w:r>
        <w:rPr>
          <w:rFonts w:hint="eastAsia" w:ascii="宋体" w:hAnsi="宋体" w:cs="宋体"/>
          <w:sz w:val="32"/>
          <w:szCs w:val="32"/>
          <w:highlight w:val="none"/>
        </w:rPr>
        <w:t>城乡社区（类）城乡社区管理事务（款）其他城乡社区管理事务支出（项）</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年预算数为</w:t>
      </w:r>
      <w:r>
        <w:rPr>
          <w:rFonts w:ascii="Times New Roman" w:hAnsi="Times New Roman" w:eastAsia="Times New Roman" w:cs="Times New Roman"/>
          <w:sz w:val="32"/>
          <w:szCs w:val="32"/>
          <w:highlight w:val="none"/>
        </w:rPr>
        <w:t>369.5</w:t>
      </w:r>
      <w:r>
        <w:rPr>
          <w:rFonts w:hint="eastAsia" w:ascii="宋体" w:hAnsi="宋体" w:cs="宋体"/>
          <w:sz w:val="32"/>
          <w:szCs w:val="32"/>
          <w:highlight w:val="none"/>
        </w:rPr>
        <w:t>万元，比上年预算数增加</w:t>
      </w:r>
      <w:r>
        <w:rPr>
          <w:rFonts w:ascii="Times New Roman" w:hAnsi="Times New Roman" w:cs="Times New Roman"/>
          <w:sz w:val="32"/>
          <w:szCs w:val="32"/>
          <w:highlight w:val="none"/>
        </w:rPr>
        <w:t>72.5</w:t>
      </w:r>
      <w:r>
        <w:rPr>
          <w:rFonts w:hint="eastAsia" w:ascii="宋体" w:hAnsi="宋体" w:cs="宋体"/>
          <w:sz w:val="32"/>
          <w:szCs w:val="32"/>
          <w:highlight w:val="none"/>
        </w:rPr>
        <w:t>万元，主要原因是本单位增加项目预算。</w:t>
      </w:r>
    </w:p>
    <w:p>
      <w:pPr>
        <w:ind w:firstLine="64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三、关于三亚市物业信息和白蚁防治中心</w:t>
      </w:r>
      <w:r>
        <w:rPr>
          <w:rFonts w:ascii="Times New Roman" w:hAnsi="Times New Roman" w:eastAsia="Times New Roman" w:cs="Times New Roman"/>
          <w:sz w:val="32"/>
          <w:szCs w:val="32"/>
          <w:highlight w:val="none"/>
        </w:rPr>
        <w:t>2022</w:t>
      </w:r>
      <w:r>
        <w:rPr>
          <w:rFonts w:hint="eastAsia" w:ascii="Times New Roman" w:hAnsi="Times New Roman" w:eastAsia="黑体" w:cs="Times New Roman"/>
          <w:sz w:val="32"/>
          <w:szCs w:val="32"/>
          <w:highlight w:val="none"/>
        </w:rPr>
        <w:t>年一般公共预算基本支出情况说明</w:t>
      </w:r>
    </w:p>
    <w:p>
      <w:pPr>
        <w:ind w:firstLine="640" w:firstLineChars="200"/>
        <w:rPr>
          <w:rFonts w:hint="eastAsia" w:ascii="Times New Roman" w:hAnsi="Times New Roman" w:eastAsia="宋体" w:cs="Times New Roman"/>
          <w:sz w:val="32"/>
          <w:szCs w:val="32"/>
          <w:highlight w:val="none"/>
          <w:lang w:eastAsia="zh-CN"/>
        </w:rPr>
      </w:pPr>
      <w:r>
        <w:rPr>
          <w:rFonts w:hint="eastAsia" w:ascii="宋体" w:hAnsi="宋体" w:cs="宋体"/>
          <w:sz w:val="32"/>
          <w:szCs w:val="32"/>
          <w:highlight w:val="none"/>
        </w:rPr>
        <w:t>三亚市物业信息和白蚁防治中心</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年一般公共预算基本支出为</w:t>
      </w:r>
      <w:r>
        <w:rPr>
          <w:rFonts w:ascii="Times New Roman" w:hAnsi="Times New Roman" w:cs="Times New Roman"/>
          <w:sz w:val="32"/>
          <w:szCs w:val="32"/>
          <w:highlight w:val="none"/>
        </w:rPr>
        <w:t>0</w:t>
      </w:r>
      <w:r>
        <w:rPr>
          <w:rFonts w:hint="eastAsia" w:ascii="宋体" w:hAnsi="宋体" w:cs="宋体"/>
          <w:sz w:val="32"/>
          <w:szCs w:val="32"/>
          <w:highlight w:val="none"/>
        </w:rPr>
        <w:t>万元</w:t>
      </w:r>
      <w:r>
        <w:rPr>
          <w:rFonts w:hint="eastAsia" w:ascii="宋体" w:hAnsi="宋体" w:cs="宋体"/>
          <w:sz w:val="32"/>
          <w:szCs w:val="32"/>
          <w:highlight w:val="none"/>
          <w:lang w:eastAsia="zh-CN"/>
        </w:rPr>
        <w:t>，与上年预算持平。</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四、三亚市物业信息和白蚁防治中心</w:t>
      </w:r>
      <w:r>
        <w:rPr>
          <w:rFonts w:ascii="Times New Roman" w:hAnsi="Times New Roman" w:eastAsia="黑体" w:cs="Times New Roman"/>
          <w:sz w:val="32"/>
          <w:highlight w:val="none"/>
          <w:shd w:val="clear" w:color="auto" w:fill="FFFFFF"/>
        </w:rPr>
        <w:t>2022</w:t>
      </w:r>
      <w:r>
        <w:rPr>
          <w:rFonts w:hint="eastAsia" w:ascii="Times New Roman" w:hAnsi="Times New Roman" w:eastAsia="黑体" w:cs="Times New Roman"/>
          <w:sz w:val="32"/>
          <w:highlight w:val="none"/>
          <w:shd w:val="clear" w:color="auto" w:fill="FFFFFF"/>
        </w:rPr>
        <w:t>年</w:t>
      </w:r>
      <w:r>
        <w:rPr>
          <w:rFonts w:ascii="Times New Roman" w:hAnsi="Times New Roman" w:eastAsia="黑体" w:cs="Times New Roman"/>
          <w:sz w:val="32"/>
          <w:highlight w:val="none"/>
          <w:shd w:val="clear" w:color="auto" w:fill="FFFFFF"/>
        </w:rPr>
        <w:t>“</w:t>
      </w:r>
      <w:r>
        <w:rPr>
          <w:rFonts w:hint="eastAsia" w:ascii="Times New Roman" w:hAnsi="Times New Roman" w:eastAsia="黑体" w:cs="Times New Roman"/>
          <w:sz w:val="32"/>
          <w:highlight w:val="none"/>
          <w:shd w:val="clear" w:color="auto" w:fill="FFFFFF"/>
        </w:rPr>
        <w:t>三公</w:t>
      </w:r>
      <w:r>
        <w:rPr>
          <w:rFonts w:ascii="Times New Roman" w:hAnsi="Times New Roman" w:eastAsia="黑体" w:cs="Times New Roman"/>
          <w:sz w:val="32"/>
          <w:highlight w:val="none"/>
          <w:shd w:val="clear" w:color="auto" w:fill="FFFFFF"/>
        </w:rPr>
        <w:t>”</w:t>
      </w:r>
      <w:r>
        <w:rPr>
          <w:rFonts w:hint="eastAsia" w:ascii="Times New Roman" w:hAnsi="Times New Roman" w:eastAsia="黑体" w:cs="Times New Roman"/>
          <w:sz w:val="32"/>
          <w:highlight w:val="none"/>
          <w:shd w:val="clear" w:color="auto" w:fill="FFFFFF"/>
        </w:rPr>
        <w:t>经费预算情况说明</w:t>
      </w:r>
    </w:p>
    <w:p>
      <w:pPr>
        <w:ind w:firstLine="640" w:firstLineChars="200"/>
        <w:rPr>
          <w:rFonts w:ascii="Times New Roman" w:hAnsi="Times New Roman" w:eastAsia="Times New Roman" w:cs="Times New Roman"/>
          <w:sz w:val="32"/>
          <w:highlight w:val="none"/>
          <w:shd w:val="clear" w:color="auto" w:fill="FFFFFF"/>
        </w:rPr>
      </w:pPr>
      <w:r>
        <w:rPr>
          <w:rFonts w:hint="eastAsia" w:ascii="宋体" w:hAnsi="宋体" w:cs="宋体"/>
          <w:sz w:val="32"/>
          <w:highlight w:val="none"/>
          <w:shd w:val="clear" w:color="auto" w:fill="FFFFFF"/>
        </w:rPr>
        <w:t>三亚市物业信息和白蚁防治中心</w:t>
      </w:r>
      <w:r>
        <w:rPr>
          <w:rFonts w:ascii="Times New Roman" w:hAnsi="Times New Roman" w:eastAsia="Times New Roman" w:cs="Times New Roman"/>
          <w:sz w:val="32"/>
          <w:highlight w:val="none"/>
          <w:shd w:val="clear" w:color="auto" w:fill="FFFFFF"/>
        </w:rPr>
        <w:t>2022</w:t>
      </w:r>
      <w:r>
        <w:rPr>
          <w:rFonts w:hint="eastAsia" w:ascii="宋体" w:hAnsi="宋体" w:cs="宋体"/>
          <w:sz w:val="32"/>
          <w:highlight w:val="none"/>
          <w:shd w:val="clear" w:color="auto" w:fill="FFFFFF"/>
        </w:rPr>
        <w:t>年</w:t>
      </w:r>
      <w:r>
        <w:rPr>
          <w:rFonts w:ascii="Times New Roman" w:hAnsi="Times New Roman" w:eastAsia="Times New Roman" w:cs="Times New Roman"/>
          <w:sz w:val="32"/>
          <w:highlight w:val="none"/>
          <w:shd w:val="clear" w:color="auto" w:fill="FFFFFF"/>
        </w:rPr>
        <w:t>“</w:t>
      </w:r>
      <w:r>
        <w:rPr>
          <w:rFonts w:hint="eastAsia" w:ascii="宋体" w:hAnsi="宋体" w:cs="宋体"/>
          <w:sz w:val="32"/>
          <w:highlight w:val="none"/>
          <w:shd w:val="clear" w:color="auto" w:fill="FFFFFF"/>
        </w:rPr>
        <w:t>三公</w:t>
      </w:r>
      <w:r>
        <w:rPr>
          <w:rFonts w:ascii="Times New Roman" w:hAnsi="Times New Roman" w:eastAsia="Times New Roman" w:cs="Times New Roman"/>
          <w:sz w:val="32"/>
          <w:highlight w:val="none"/>
          <w:shd w:val="clear" w:color="auto" w:fill="FFFFFF"/>
        </w:rPr>
        <w:t>”</w:t>
      </w:r>
      <w:r>
        <w:rPr>
          <w:rFonts w:hint="eastAsia" w:ascii="宋体" w:hAnsi="宋体" w:cs="宋体"/>
          <w:sz w:val="32"/>
          <w:highlight w:val="none"/>
          <w:shd w:val="clear" w:color="auto" w:fill="FFFFFF"/>
        </w:rPr>
        <w:t>经费预算</w:t>
      </w:r>
      <w:r>
        <w:rPr>
          <w:rFonts w:ascii="Times New Roman" w:hAnsi="Times New Roman" w:eastAsia="Times New Roman" w:cs="Times New Roman"/>
          <w:sz w:val="32"/>
          <w:highlight w:val="none"/>
          <w:shd w:val="clear" w:color="auto" w:fill="FFFFFF"/>
        </w:rPr>
        <w:t>0</w:t>
      </w:r>
      <w:r>
        <w:rPr>
          <w:rFonts w:hint="eastAsia" w:ascii="宋体" w:hAnsi="宋体" w:cs="宋体"/>
          <w:sz w:val="32"/>
          <w:highlight w:val="none"/>
          <w:shd w:val="clear" w:color="auto" w:fill="FFFFFF"/>
        </w:rPr>
        <w:t>万元，与上年度预算持平。</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五、关于三亚市物业信息和白蚁防治中心</w:t>
      </w:r>
      <w:r>
        <w:rPr>
          <w:rFonts w:ascii="Times New Roman" w:hAnsi="Times New Roman" w:eastAsia="黑体" w:cs="Times New Roman"/>
          <w:sz w:val="32"/>
          <w:highlight w:val="none"/>
          <w:shd w:val="clear" w:color="auto" w:fill="FFFFFF"/>
        </w:rPr>
        <w:t>2022</w:t>
      </w:r>
      <w:r>
        <w:rPr>
          <w:rFonts w:hint="eastAsia" w:ascii="Times New Roman" w:hAnsi="Times New Roman" w:eastAsia="黑体" w:cs="Times New Roman"/>
          <w:sz w:val="32"/>
          <w:highlight w:val="none"/>
          <w:shd w:val="clear" w:color="auto" w:fill="FFFFFF"/>
        </w:rPr>
        <w:t>年政府性基金预算当年拨款情况说明</w:t>
      </w:r>
    </w:p>
    <w:p>
      <w:pPr>
        <w:ind w:firstLine="640" w:firstLineChars="200"/>
        <w:rPr>
          <w:rFonts w:ascii="Times New Roman" w:hAnsi="Times New Roman" w:eastAsia="Times New Roman" w:cs="Times New Roman"/>
          <w:sz w:val="32"/>
          <w:szCs w:val="32"/>
          <w:highlight w:val="none"/>
        </w:rPr>
      </w:pPr>
      <w:r>
        <w:rPr>
          <w:rFonts w:hint="eastAsia" w:ascii="宋体" w:hAnsi="宋体" w:cs="宋体"/>
          <w:sz w:val="32"/>
          <w:highlight w:val="none"/>
          <w:shd w:val="clear" w:color="auto" w:fill="FFFFFF"/>
        </w:rPr>
        <w:t>三亚市物业信息和白蚁防治中心</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年无政府性基金预算，</w:t>
      </w:r>
      <w:r>
        <w:rPr>
          <w:rFonts w:hint="eastAsia" w:ascii="宋体" w:hAnsi="宋体" w:cs="宋体"/>
          <w:sz w:val="32"/>
          <w:highlight w:val="none"/>
          <w:shd w:val="clear" w:color="auto" w:fill="FFFFFF"/>
        </w:rPr>
        <w:t>与上年度预算持平。</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六、关于三亚市物业信息和白蚁防治中心</w:t>
      </w:r>
      <w:r>
        <w:rPr>
          <w:rFonts w:ascii="Times New Roman" w:hAnsi="Times New Roman" w:eastAsia="黑体" w:cs="Times New Roman"/>
          <w:sz w:val="32"/>
          <w:highlight w:val="none"/>
          <w:shd w:val="clear" w:color="auto" w:fill="FFFFFF"/>
        </w:rPr>
        <w:t>20</w:t>
      </w:r>
      <w:r>
        <w:rPr>
          <w:rFonts w:ascii="Times New Roman" w:hAnsi="Times New Roman" w:eastAsia="Times New Roman" w:cs="Times New Roman"/>
          <w:sz w:val="32"/>
          <w:szCs w:val="32"/>
          <w:highlight w:val="none"/>
        </w:rPr>
        <w:t>22</w:t>
      </w:r>
      <w:r>
        <w:rPr>
          <w:rFonts w:hint="eastAsia" w:ascii="Times New Roman" w:hAnsi="Times New Roman" w:eastAsia="黑体" w:cs="Times New Roman"/>
          <w:sz w:val="32"/>
          <w:highlight w:val="none"/>
          <w:shd w:val="clear" w:color="auto" w:fill="FFFFFF"/>
        </w:rPr>
        <w:t>年收支预算情况的总体说明</w:t>
      </w:r>
    </w:p>
    <w:p>
      <w:pPr>
        <w:ind w:firstLine="640" w:firstLineChars="200"/>
        <w:rPr>
          <w:rFonts w:ascii="Times New Roman" w:hAnsi="Times New Roman" w:eastAsia="Times New Roman" w:cs="Times New Roman"/>
          <w:sz w:val="32"/>
          <w:szCs w:val="32"/>
          <w:highlight w:val="none"/>
        </w:rPr>
      </w:pPr>
      <w:r>
        <w:rPr>
          <w:rFonts w:hint="eastAsia" w:ascii="宋体" w:hAnsi="宋体" w:cs="宋体"/>
          <w:sz w:val="32"/>
          <w:szCs w:val="32"/>
          <w:highlight w:val="none"/>
        </w:rPr>
        <w:t>按照综合预算原则，三亚市物业信息和白蚁防治中心所有收入和支出均纳入</w:t>
      </w:r>
      <w:r>
        <w:rPr>
          <w:rFonts w:hint="eastAsia" w:ascii="宋体" w:hAnsi="宋体" w:cs="宋体"/>
          <w:sz w:val="32"/>
          <w:szCs w:val="32"/>
          <w:highlight w:val="none"/>
          <w:lang w:eastAsia="zh-CN"/>
        </w:rPr>
        <w:t>单位</w:t>
      </w:r>
      <w:r>
        <w:rPr>
          <w:rFonts w:hint="eastAsia" w:ascii="宋体" w:hAnsi="宋体" w:cs="宋体"/>
          <w:sz w:val="32"/>
          <w:szCs w:val="32"/>
          <w:highlight w:val="none"/>
        </w:rPr>
        <w:t>预算管理。收入包括：一般公共预算收入、其他收入；支出包括：城乡社区支出、其他支出。三亚市物业信息和白蚁防治中心</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年收支总预算</w:t>
      </w:r>
      <w:r>
        <w:rPr>
          <w:rFonts w:ascii="Times New Roman" w:hAnsi="Times New Roman" w:cs="Times New Roman"/>
          <w:sz w:val="32"/>
          <w:szCs w:val="32"/>
          <w:highlight w:val="none"/>
        </w:rPr>
        <w:t>382</w:t>
      </w:r>
      <w:r>
        <w:rPr>
          <w:rFonts w:hint="eastAsia" w:ascii="宋体" w:hAnsi="宋体" w:cs="宋体"/>
          <w:sz w:val="32"/>
          <w:szCs w:val="32"/>
          <w:highlight w:val="none"/>
        </w:rPr>
        <w:t>万元。</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七、关于三亚市物业信息和白蚁防治中心</w:t>
      </w:r>
      <w:r>
        <w:rPr>
          <w:rFonts w:ascii="Times New Roman" w:hAnsi="Times New Roman" w:eastAsia="黑体" w:cs="Times New Roman"/>
          <w:sz w:val="32"/>
          <w:highlight w:val="none"/>
          <w:shd w:val="clear" w:color="auto" w:fill="FFFFFF"/>
        </w:rPr>
        <w:t>2022</w:t>
      </w:r>
      <w:r>
        <w:rPr>
          <w:rFonts w:hint="eastAsia" w:ascii="Times New Roman" w:hAnsi="Times New Roman" w:eastAsia="黑体" w:cs="Times New Roman"/>
          <w:sz w:val="32"/>
          <w:highlight w:val="none"/>
          <w:shd w:val="clear" w:color="auto" w:fill="FFFFFF"/>
        </w:rPr>
        <w:t>年收入预算情况说明</w:t>
      </w:r>
    </w:p>
    <w:p>
      <w:pPr>
        <w:ind w:firstLine="640" w:firstLineChars="200"/>
        <w:rPr>
          <w:rFonts w:ascii="Times New Roman" w:hAnsi="Times New Roman" w:eastAsia="Times New Roman" w:cs="Times New Roman"/>
          <w:sz w:val="32"/>
          <w:szCs w:val="32"/>
          <w:highlight w:val="none"/>
        </w:rPr>
      </w:pPr>
      <w:r>
        <w:rPr>
          <w:rFonts w:hint="eastAsia" w:ascii="宋体" w:hAnsi="宋体" w:cs="宋体"/>
          <w:sz w:val="32"/>
          <w:szCs w:val="32"/>
          <w:highlight w:val="none"/>
        </w:rPr>
        <w:t>三亚市物业信息和白蚁防治中心</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年收入预算</w:t>
      </w:r>
      <w:r>
        <w:rPr>
          <w:rFonts w:ascii="Times New Roman" w:hAnsi="Times New Roman" w:cs="Times New Roman"/>
          <w:sz w:val="32"/>
          <w:szCs w:val="32"/>
          <w:highlight w:val="none"/>
        </w:rPr>
        <w:t>382</w:t>
      </w:r>
      <w:r>
        <w:rPr>
          <w:rFonts w:hint="eastAsia" w:ascii="宋体" w:hAnsi="宋体" w:cs="宋体"/>
          <w:sz w:val="32"/>
          <w:szCs w:val="32"/>
          <w:highlight w:val="none"/>
        </w:rPr>
        <w:t>万元，其中：上年结转</w:t>
      </w:r>
      <w:r>
        <w:rPr>
          <w:rFonts w:ascii="Times New Roman" w:hAnsi="Times New Roman" w:cs="Times New Roman"/>
          <w:sz w:val="32"/>
          <w:szCs w:val="32"/>
          <w:highlight w:val="none"/>
        </w:rPr>
        <w:t>12.5</w:t>
      </w:r>
      <w:r>
        <w:rPr>
          <w:rFonts w:hint="eastAsia" w:ascii="宋体" w:hAnsi="宋体" w:cs="宋体"/>
          <w:sz w:val="32"/>
          <w:szCs w:val="32"/>
          <w:highlight w:val="none"/>
        </w:rPr>
        <w:t>万元，占</w:t>
      </w:r>
      <w:r>
        <w:rPr>
          <w:rFonts w:ascii="Times New Roman" w:hAnsi="Times New Roman" w:cs="Times New Roman"/>
          <w:sz w:val="32"/>
          <w:szCs w:val="32"/>
          <w:highlight w:val="none"/>
        </w:rPr>
        <w:t>3.27</w:t>
      </w:r>
      <w:r>
        <w:rPr>
          <w:rFonts w:ascii="Times New Roman" w:hAnsi="Times New Roman" w:eastAsia="Times New Roman" w:cs="Times New Roman"/>
          <w:sz w:val="32"/>
          <w:szCs w:val="32"/>
          <w:highlight w:val="none"/>
        </w:rPr>
        <w:t>%</w:t>
      </w:r>
      <w:r>
        <w:rPr>
          <w:rFonts w:hint="eastAsia" w:ascii="宋体" w:hAnsi="宋体" w:cs="宋体"/>
          <w:sz w:val="32"/>
          <w:szCs w:val="32"/>
          <w:highlight w:val="none"/>
        </w:rPr>
        <w:t>；经费拨款收入</w:t>
      </w:r>
      <w:r>
        <w:rPr>
          <w:rFonts w:ascii="Times New Roman" w:hAnsi="Times New Roman" w:eastAsia="Times New Roman" w:cs="Times New Roman"/>
          <w:sz w:val="32"/>
          <w:szCs w:val="32"/>
          <w:highlight w:val="none"/>
        </w:rPr>
        <w:t>369.5</w:t>
      </w:r>
      <w:r>
        <w:rPr>
          <w:rFonts w:hint="eastAsia" w:ascii="宋体" w:hAnsi="宋体" w:cs="宋体"/>
          <w:sz w:val="32"/>
          <w:szCs w:val="32"/>
          <w:highlight w:val="none"/>
        </w:rPr>
        <w:t>万元，占</w:t>
      </w:r>
      <w:r>
        <w:rPr>
          <w:rFonts w:ascii="Times New Roman" w:hAnsi="Times New Roman" w:eastAsia="Times New Roman" w:cs="Times New Roman"/>
          <w:sz w:val="32"/>
          <w:szCs w:val="32"/>
          <w:highlight w:val="none"/>
        </w:rPr>
        <w:t>9</w:t>
      </w:r>
      <w:r>
        <w:rPr>
          <w:rFonts w:ascii="Times New Roman" w:hAnsi="Times New Roman" w:cs="Times New Roman"/>
          <w:sz w:val="32"/>
          <w:szCs w:val="32"/>
          <w:highlight w:val="none"/>
        </w:rPr>
        <w:t>6.73</w:t>
      </w:r>
      <w:r>
        <w:rPr>
          <w:rFonts w:ascii="Times New Roman" w:hAnsi="Times New Roman" w:eastAsia="Times New Roman" w:cs="Times New Roman"/>
          <w:sz w:val="32"/>
          <w:szCs w:val="32"/>
          <w:highlight w:val="none"/>
        </w:rPr>
        <w:t>%</w:t>
      </w:r>
      <w:r>
        <w:rPr>
          <w:rFonts w:hint="eastAsia" w:ascii="宋体" w:hAnsi="宋体" w:cs="宋体"/>
          <w:sz w:val="32"/>
          <w:szCs w:val="32"/>
          <w:highlight w:val="none"/>
        </w:rPr>
        <w:t>；无政府性基金收入；无其他收入。比上年预算数增加</w:t>
      </w:r>
      <w:r>
        <w:rPr>
          <w:rFonts w:ascii="宋体" w:hAnsi="宋体" w:cs="宋体"/>
          <w:sz w:val="32"/>
          <w:szCs w:val="32"/>
          <w:highlight w:val="none"/>
        </w:rPr>
        <w:t>72.5</w:t>
      </w:r>
      <w:r>
        <w:rPr>
          <w:rFonts w:hint="eastAsia" w:ascii="宋体" w:hAnsi="宋体" w:cs="宋体"/>
          <w:sz w:val="32"/>
          <w:szCs w:val="32"/>
          <w:highlight w:val="none"/>
        </w:rPr>
        <w:t>万元，主要原因是单位增加项目预算经费。</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八、关于三亚市物业信息和白蚁防治中心</w:t>
      </w:r>
      <w:r>
        <w:rPr>
          <w:rFonts w:ascii="Times New Roman" w:hAnsi="Times New Roman" w:eastAsia="Times New Roman" w:cs="Times New Roman"/>
          <w:sz w:val="32"/>
          <w:szCs w:val="32"/>
          <w:highlight w:val="none"/>
        </w:rPr>
        <w:t>2022</w:t>
      </w:r>
      <w:r>
        <w:rPr>
          <w:rFonts w:hint="eastAsia" w:ascii="Times New Roman" w:hAnsi="Times New Roman" w:eastAsia="黑体" w:cs="Times New Roman"/>
          <w:sz w:val="32"/>
          <w:highlight w:val="none"/>
          <w:shd w:val="clear" w:color="auto" w:fill="FFFFFF"/>
        </w:rPr>
        <w:t>年支出预算情况说明</w:t>
      </w:r>
    </w:p>
    <w:p>
      <w:pPr>
        <w:ind w:firstLine="640" w:firstLineChars="200"/>
        <w:rPr>
          <w:rFonts w:ascii="Times New Roman" w:hAnsi="Times New Roman" w:eastAsia="Times New Roman" w:cs="Times New Roman"/>
          <w:sz w:val="32"/>
          <w:szCs w:val="32"/>
          <w:highlight w:val="none"/>
        </w:rPr>
      </w:pPr>
      <w:r>
        <w:rPr>
          <w:rFonts w:hint="eastAsia" w:ascii="宋体" w:hAnsi="宋体" w:cs="宋体"/>
          <w:sz w:val="32"/>
          <w:szCs w:val="32"/>
          <w:highlight w:val="none"/>
        </w:rPr>
        <w:t>三亚市物业信息和白蚁防治中心</w:t>
      </w: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年支出预算</w:t>
      </w:r>
      <w:r>
        <w:rPr>
          <w:rFonts w:ascii="Times New Roman" w:hAnsi="Times New Roman" w:eastAsia="Times New Roman" w:cs="Times New Roman"/>
          <w:sz w:val="32"/>
          <w:szCs w:val="32"/>
          <w:highlight w:val="none"/>
        </w:rPr>
        <w:t>375.5</w:t>
      </w:r>
      <w:r>
        <w:rPr>
          <w:rFonts w:hint="eastAsia" w:ascii="宋体" w:hAnsi="宋体" w:cs="宋体"/>
          <w:sz w:val="32"/>
          <w:szCs w:val="32"/>
          <w:highlight w:val="none"/>
        </w:rPr>
        <w:t>万元，其中：项目支出</w:t>
      </w:r>
      <w:r>
        <w:rPr>
          <w:rFonts w:ascii="Times New Roman" w:hAnsi="Times New Roman" w:eastAsia="Times New Roman" w:cs="Times New Roman"/>
          <w:sz w:val="32"/>
          <w:szCs w:val="32"/>
          <w:highlight w:val="none"/>
        </w:rPr>
        <w:t>375.5</w:t>
      </w:r>
      <w:r>
        <w:rPr>
          <w:rFonts w:hint="eastAsia" w:ascii="宋体" w:hAnsi="宋体" w:cs="宋体"/>
          <w:sz w:val="32"/>
          <w:szCs w:val="32"/>
          <w:highlight w:val="none"/>
        </w:rPr>
        <w:t>万元，占</w:t>
      </w:r>
      <w:r>
        <w:rPr>
          <w:rFonts w:ascii="Times New Roman" w:hAnsi="Times New Roman" w:eastAsia="Times New Roman" w:cs="Times New Roman"/>
          <w:sz w:val="32"/>
          <w:szCs w:val="32"/>
          <w:highlight w:val="none"/>
        </w:rPr>
        <w:t>100%</w:t>
      </w:r>
      <w:r>
        <w:rPr>
          <w:rFonts w:hint="eastAsia" w:ascii="宋体" w:hAnsi="宋体" w:cs="宋体"/>
          <w:sz w:val="32"/>
          <w:szCs w:val="32"/>
          <w:highlight w:val="none"/>
        </w:rPr>
        <w:t>。比上年预算数增加</w:t>
      </w:r>
      <w:r>
        <w:rPr>
          <w:rFonts w:ascii="宋体" w:hAnsi="宋体" w:cs="宋体"/>
          <w:sz w:val="32"/>
          <w:szCs w:val="32"/>
          <w:highlight w:val="none"/>
        </w:rPr>
        <w:t>66</w:t>
      </w:r>
      <w:r>
        <w:rPr>
          <w:rFonts w:hint="eastAsia" w:ascii="宋体" w:hAnsi="宋体" w:cs="宋体"/>
          <w:sz w:val="32"/>
          <w:szCs w:val="32"/>
          <w:highlight w:val="none"/>
        </w:rPr>
        <w:t>万元，主要原因是单位增加项目预算支出经费。</w:t>
      </w:r>
    </w:p>
    <w:p>
      <w:pPr>
        <w:ind w:firstLine="640" w:firstLineChars="200"/>
        <w:rPr>
          <w:rFonts w:ascii="Times New Roman" w:hAnsi="Times New Roman" w:eastAsia="黑体" w:cs="Times New Roman"/>
          <w:sz w:val="32"/>
          <w:highlight w:val="none"/>
          <w:shd w:val="clear" w:color="auto" w:fill="FFFFFF"/>
        </w:rPr>
      </w:pPr>
      <w:r>
        <w:rPr>
          <w:rFonts w:hint="eastAsia" w:ascii="Times New Roman" w:hAnsi="Times New Roman" w:eastAsia="黑体" w:cs="Times New Roman"/>
          <w:sz w:val="32"/>
          <w:highlight w:val="none"/>
          <w:shd w:val="clear" w:color="auto" w:fill="FFFFFF"/>
        </w:rPr>
        <w:t>九、其他重要事项的情况说明</w:t>
      </w:r>
    </w:p>
    <w:p>
      <w:pPr>
        <w:ind w:firstLine="640" w:firstLineChars="200"/>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（一）机关运行经费</w:t>
      </w:r>
    </w:p>
    <w:p>
      <w:pPr>
        <w:ind w:firstLine="640" w:firstLineChars="200"/>
        <w:rPr>
          <w:rFonts w:ascii="Times New Roman" w:hAnsi="Times New Roman" w:eastAsia="楷体" w:cs="Times New Roman"/>
          <w:sz w:val="32"/>
          <w:szCs w:val="32"/>
          <w:highlight w:val="none"/>
        </w:rPr>
      </w:pPr>
      <w:r>
        <w:rPr>
          <w:rFonts w:hint="eastAsia" w:ascii="宋体" w:hAnsi="宋体" w:cs="宋体"/>
          <w:sz w:val="32"/>
          <w:szCs w:val="32"/>
          <w:highlight w:val="none"/>
          <w:lang w:eastAsia="zh-CN"/>
        </w:rPr>
        <w:t>无，</w:t>
      </w:r>
      <w:r>
        <w:rPr>
          <w:rFonts w:hint="eastAsia" w:ascii="宋体" w:hAnsi="宋体" w:cs="宋体"/>
          <w:sz w:val="32"/>
          <w:szCs w:val="32"/>
          <w:highlight w:val="none"/>
        </w:rPr>
        <w:t>三亚市物业信息和白蚁防治中心为非参公管理事业单位。</w:t>
      </w:r>
    </w:p>
    <w:p>
      <w:pPr>
        <w:ind w:firstLine="640" w:firstLineChars="200"/>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（二）政府采购情况</w:t>
      </w:r>
    </w:p>
    <w:p>
      <w:pPr>
        <w:ind w:firstLine="640"/>
        <w:rPr>
          <w:rFonts w:ascii="Times New Roman" w:hAnsi="Times New Roman" w:eastAsia="Times New Roman" w:cs="Times New Roman"/>
          <w:sz w:val="32"/>
          <w:szCs w:val="32"/>
          <w:highlight w:val="none"/>
        </w:rPr>
      </w:pP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年三亚市物业信息和白蚁防治中心政府采购预算总额</w:t>
      </w:r>
      <w:r>
        <w:rPr>
          <w:rFonts w:ascii="Times New Roman" w:hAnsi="Times New Roman" w:eastAsia="Times New Roman" w:cs="Times New Roman"/>
          <w:sz w:val="32"/>
          <w:szCs w:val="32"/>
          <w:highlight w:val="none"/>
        </w:rPr>
        <w:t>0</w:t>
      </w:r>
      <w:r>
        <w:rPr>
          <w:rFonts w:hint="eastAsia" w:ascii="宋体" w:hAnsi="宋体" w:cs="宋体"/>
          <w:sz w:val="32"/>
          <w:szCs w:val="32"/>
          <w:highlight w:val="none"/>
        </w:rPr>
        <w:t>万元，其中：政府采购固定资产预算</w:t>
      </w:r>
      <w:r>
        <w:rPr>
          <w:rFonts w:ascii="Times New Roman" w:hAnsi="Times New Roman" w:eastAsia="Times New Roman" w:cs="Times New Roman"/>
          <w:sz w:val="32"/>
          <w:szCs w:val="32"/>
          <w:highlight w:val="none"/>
        </w:rPr>
        <w:t>0</w:t>
      </w:r>
      <w:r>
        <w:rPr>
          <w:rFonts w:hint="eastAsia" w:ascii="宋体" w:hAnsi="宋体" w:cs="宋体"/>
          <w:sz w:val="32"/>
          <w:szCs w:val="32"/>
          <w:highlight w:val="none"/>
        </w:rPr>
        <w:t>万元。</w:t>
      </w:r>
    </w:p>
    <w:p>
      <w:pPr>
        <w:ind w:firstLine="640" w:firstLineChars="200"/>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（三）国有资产占有使用情况</w:t>
      </w:r>
    </w:p>
    <w:p>
      <w:pPr>
        <w:ind w:firstLine="640" w:firstLineChars="200"/>
        <w:rPr>
          <w:rFonts w:ascii="Times New Roman" w:hAnsi="Times New Roman" w:eastAsia="Times New Roman" w:cs="Times New Roman"/>
          <w:sz w:val="32"/>
          <w:szCs w:val="32"/>
          <w:highlight w:val="none"/>
        </w:rPr>
      </w:pPr>
      <w:r>
        <w:rPr>
          <w:rFonts w:hint="eastAsia" w:ascii="宋体" w:hAnsi="宋体" w:cs="宋体"/>
          <w:sz w:val="32"/>
          <w:szCs w:val="32"/>
          <w:highlight w:val="none"/>
        </w:rPr>
        <w:t>截至</w:t>
      </w:r>
      <w:r>
        <w:rPr>
          <w:rFonts w:ascii="Times New Roman" w:hAnsi="Times New Roman" w:eastAsia="Times New Roman" w:cs="Times New Roman"/>
          <w:sz w:val="32"/>
          <w:szCs w:val="32"/>
          <w:highlight w:val="none"/>
        </w:rPr>
        <w:t>2021</w:t>
      </w:r>
      <w:r>
        <w:rPr>
          <w:rFonts w:hint="eastAsia" w:ascii="宋体" w:hAnsi="宋体" w:cs="宋体"/>
          <w:sz w:val="32"/>
          <w:szCs w:val="32"/>
          <w:highlight w:val="none"/>
        </w:rPr>
        <w:t>年</w:t>
      </w:r>
      <w:r>
        <w:rPr>
          <w:rFonts w:ascii="Times New Roman" w:hAnsi="Times New Roman" w:eastAsia="Times New Roman" w:cs="Times New Roman"/>
          <w:sz w:val="32"/>
          <w:szCs w:val="32"/>
          <w:highlight w:val="none"/>
        </w:rPr>
        <w:t>12</w:t>
      </w:r>
      <w:r>
        <w:rPr>
          <w:rFonts w:hint="eastAsia" w:ascii="宋体" w:hAnsi="宋体" w:cs="宋体"/>
          <w:sz w:val="32"/>
          <w:szCs w:val="32"/>
          <w:highlight w:val="none"/>
        </w:rPr>
        <w:t>月</w:t>
      </w:r>
      <w:r>
        <w:rPr>
          <w:rFonts w:ascii="Times New Roman" w:hAnsi="Times New Roman" w:eastAsia="Times New Roman" w:cs="Times New Roman"/>
          <w:sz w:val="32"/>
          <w:szCs w:val="32"/>
          <w:highlight w:val="none"/>
        </w:rPr>
        <w:t>31</w:t>
      </w:r>
      <w:r>
        <w:rPr>
          <w:rFonts w:hint="eastAsia" w:ascii="宋体" w:hAnsi="宋体" w:cs="宋体"/>
          <w:sz w:val="32"/>
          <w:szCs w:val="32"/>
          <w:highlight w:val="none"/>
        </w:rPr>
        <w:t>日，三亚市物业信息和白蚁防治中心预算单位共有车辆</w:t>
      </w:r>
      <w:r>
        <w:rPr>
          <w:rFonts w:ascii="Times New Roman" w:hAnsi="Times New Roman" w:eastAsia="Times New Roman" w:cs="Times New Roman"/>
          <w:sz w:val="32"/>
          <w:szCs w:val="32"/>
          <w:highlight w:val="none"/>
        </w:rPr>
        <w:t>0</w:t>
      </w:r>
      <w:r>
        <w:rPr>
          <w:rFonts w:hint="eastAsia" w:ascii="宋体" w:hAnsi="宋体" w:cs="宋体"/>
          <w:sz w:val="32"/>
          <w:szCs w:val="32"/>
          <w:highlight w:val="none"/>
        </w:rPr>
        <w:t>辆，其中，领导干部用车</w:t>
      </w:r>
      <w:r>
        <w:rPr>
          <w:rFonts w:ascii="Times New Roman" w:hAnsi="Times New Roman" w:eastAsia="Times New Roman" w:cs="Times New Roman"/>
          <w:sz w:val="32"/>
          <w:szCs w:val="32"/>
          <w:highlight w:val="none"/>
        </w:rPr>
        <w:t>0</w:t>
      </w:r>
      <w:r>
        <w:rPr>
          <w:rFonts w:hint="eastAsia" w:ascii="宋体" w:hAnsi="宋体" w:cs="宋体"/>
          <w:sz w:val="32"/>
          <w:szCs w:val="32"/>
          <w:highlight w:val="none"/>
        </w:rPr>
        <w:t>辆，特种专业技术用车</w:t>
      </w:r>
      <w:r>
        <w:rPr>
          <w:rFonts w:ascii="Times New Roman" w:hAnsi="Times New Roman" w:eastAsia="Times New Roman" w:cs="Times New Roman"/>
          <w:sz w:val="32"/>
          <w:szCs w:val="32"/>
          <w:highlight w:val="none"/>
        </w:rPr>
        <w:t>0</w:t>
      </w:r>
      <w:r>
        <w:rPr>
          <w:rFonts w:hint="eastAsia" w:ascii="宋体" w:hAnsi="宋体" w:cs="宋体"/>
          <w:sz w:val="32"/>
          <w:szCs w:val="32"/>
          <w:highlight w:val="none"/>
        </w:rPr>
        <w:t>辆。单位价值</w:t>
      </w:r>
      <w:r>
        <w:rPr>
          <w:rFonts w:ascii="Times New Roman" w:hAnsi="Times New Roman" w:eastAsia="Times New Roman" w:cs="Times New Roman"/>
          <w:sz w:val="32"/>
          <w:szCs w:val="32"/>
          <w:highlight w:val="none"/>
        </w:rPr>
        <w:t>100</w:t>
      </w:r>
      <w:r>
        <w:rPr>
          <w:rFonts w:hint="eastAsia" w:ascii="宋体" w:hAnsi="宋体" w:cs="宋体"/>
          <w:sz w:val="32"/>
          <w:szCs w:val="32"/>
          <w:highlight w:val="none"/>
        </w:rPr>
        <w:t>万元以上设备</w:t>
      </w:r>
      <w:r>
        <w:rPr>
          <w:rFonts w:ascii="Times New Roman" w:hAnsi="Times New Roman" w:eastAsia="Times New Roman" w:cs="Times New Roman"/>
          <w:sz w:val="32"/>
          <w:szCs w:val="32"/>
          <w:highlight w:val="none"/>
        </w:rPr>
        <w:t>0</w:t>
      </w:r>
      <w:r>
        <w:rPr>
          <w:rFonts w:hint="eastAsia" w:ascii="宋体" w:hAnsi="宋体" w:cs="宋体"/>
          <w:sz w:val="32"/>
          <w:szCs w:val="32"/>
          <w:highlight w:val="none"/>
        </w:rPr>
        <w:t>台（套）。</w:t>
      </w:r>
    </w:p>
    <w:p>
      <w:pPr>
        <w:ind w:firstLine="640" w:firstLineChars="200"/>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（四）绩效目标设置情况</w:t>
      </w:r>
    </w:p>
    <w:p>
      <w:pPr>
        <w:ind w:firstLine="640" w:firstLineChars="200"/>
        <w:rPr>
          <w:rFonts w:ascii="Times New Roman" w:hAnsi="Times New Roman" w:eastAsia="Times New Roman" w:cs="Times New Roman"/>
          <w:sz w:val="32"/>
          <w:szCs w:val="32"/>
          <w:highlight w:val="none"/>
        </w:rPr>
      </w:pPr>
      <w:r>
        <w:rPr>
          <w:rFonts w:ascii="Times New Roman" w:hAnsi="Times New Roman" w:eastAsia="Times New Roman" w:cs="Times New Roman"/>
          <w:sz w:val="32"/>
          <w:szCs w:val="32"/>
          <w:highlight w:val="none"/>
        </w:rPr>
        <w:t>2022</w:t>
      </w:r>
      <w:r>
        <w:rPr>
          <w:rFonts w:hint="eastAsia" w:ascii="宋体" w:hAnsi="宋体" w:cs="宋体"/>
          <w:sz w:val="32"/>
          <w:szCs w:val="32"/>
          <w:highlight w:val="none"/>
        </w:rPr>
        <w:t>年三亚市物业信息和白蚁防治中心</w:t>
      </w:r>
      <w:r>
        <w:rPr>
          <w:rFonts w:ascii="Times New Roman" w:hAnsi="Times New Roman" w:cs="Times New Roman"/>
          <w:sz w:val="32"/>
          <w:szCs w:val="32"/>
          <w:highlight w:val="none"/>
        </w:rPr>
        <w:t>3</w:t>
      </w:r>
      <w:r>
        <w:rPr>
          <w:rFonts w:hint="eastAsia" w:ascii="宋体" w:hAnsi="宋体" w:cs="宋体"/>
          <w:sz w:val="32"/>
          <w:szCs w:val="32"/>
          <w:highlight w:val="none"/>
        </w:rPr>
        <w:t>个项目实行绩效目标管理，涉及一般公共预算</w:t>
      </w:r>
      <w:r>
        <w:rPr>
          <w:rFonts w:ascii="Times New Roman" w:hAnsi="Times New Roman" w:eastAsia="Times New Roman" w:cs="Times New Roman"/>
          <w:sz w:val="32"/>
          <w:szCs w:val="32"/>
          <w:highlight w:val="none"/>
        </w:rPr>
        <w:t>375.5</w:t>
      </w:r>
      <w:r>
        <w:rPr>
          <w:rFonts w:hint="eastAsia" w:ascii="宋体" w:hAnsi="宋体" w:cs="宋体"/>
          <w:sz w:val="32"/>
          <w:szCs w:val="32"/>
          <w:highlight w:val="none"/>
        </w:rPr>
        <w:t>万元、政府性基金</w:t>
      </w:r>
      <w:r>
        <w:rPr>
          <w:rFonts w:ascii="Times New Roman" w:hAnsi="Times New Roman" w:eastAsia="Times New Roman" w:cs="Times New Roman"/>
          <w:sz w:val="32"/>
          <w:szCs w:val="32"/>
          <w:highlight w:val="none"/>
        </w:rPr>
        <w:t>0</w:t>
      </w:r>
      <w:r>
        <w:rPr>
          <w:rFonts w:hint="eastAsia" w:ascii="宋体" w:hAnsi="宋体" w:cs="宋体"/>
          <w:sz w:val="32"/>
          <w:szCs w:val="32"/>
          <w:highlight w:val="none"/>
        </w:rPr>
        <w:t>万元，合计</w:t>
      </w:r>
      <w:r>
        <w:rPr>
          <w:rFonts w:ascii="Times New Roman" w:hAnsi="Times New Roman" w:eastAsia="Times New Roman" w:cs="Times New Roman"/>
          <w:sz w:val="32"/>
          <w:szCs w:val="32"/>
          <w:highlight w:val="none"/>
        </w:rPr>
        <w:t>375.5</w:t>
      </w:r>
      <w:r>
        <w:rPr>
          <w:rFonts w:hint="eastAsia" w:ascii="宋体" w:hAnsi="宋体" w:cs="宋体"/>
          <w:sz w:val="32"/>
          <w:szCs w:val="32"/>
          <w:highlight w:val="none"/>
        </w:rPr>
        <w:t>万元。</w:t>
      </w:r>
    </w:p>
    <w:p>
      <w:pPr>
        <w:jc w:val="center"/>
        <w:rPr>
          <w:rFonts w:ascii="Times New Roman" w:hAnsi="Times New Roman" w:eastAsia="黑体" w:cs="Times New Roman"/>
          <w:sz w:val="32"/>
          <w:szCs w:val="32"/>
          <w:highlight w:val="none"/>
        </w:rPr>
      </w:pPr>
    </w:p>
    <w:p>
      <w:pPr>
        <w:jc w:val="left"/>
        <w:rPr>
          <w:rFonts w:ascii="Times New Roman" w:hAnsi="Times New Roman" w:eastAsia="Times New Roman" w:cs="Times New Roman"/>
          <w:color w:val="000000"/>
          <w:kern w:val="0"/>
          <w:sz w:val="32"/>
          <w:szCs w:val="30"/>
          <w:highlight w:val="none"/>
        </w:rPr>
      </w:pPr>
    </w:p>
    <w:p>
      <w:pPr>
        <w:jc w:val="center"/>
        <w:rPr>
          <w:rFonts w:ascii="Times New Roman" w:hAnsi="Times New Roman" w:eastAsia="黑体" w:cs="Times New Roman"/>
          <w:b/>
          <w:sz w:val="32"/>
          <w:szCs w:val="32"/>
          <w:highlight w:val="none"/>
        </w:rPr>
      </w:pPr>
      <w:r>
        <w:rPr>
          <w:rFonts w:hint="eastAsia" w:ascii="Times New Roman" w:hAnsi="Times New Roman" w:eastAsia="黑体" w:cs="Times New Roman"/>
          <w:b/>
          <w:sz w:val="32"/>
          <w:szCs w:val="32"/>
          <w:highlight w:val="none"/>
        </w:rPr>
        <w:t>第四部分名词解释</w:t>
      </w:r>
    </w:p>
    <w:p>
      <w:pPr>
        <w:ind w:firstLine="640" w:firstLineChars="200"/>
        <w:jc w:val="left"/>
        <w:rPr>
          <w:rFonts w:ascii="Times New Roman" w:hAnsi="Times New Roman" w:eastAsia="Times New Roman" w:cs="Times New Roman"/>
          <w:bCs/>
          <w:color w:val="000000"/>
          <w:kern w:val="0"/>
          <w:sz w:val="32"/>
          <w:szCs w:val="32"/>
          <w:highlight w:val="none"/>
          <w:lang w:val="zh-CN"/>
        </w:rPr>
      </w:pP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一、财政拨款收入：指本级财政当年拨付的资金。</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二、事业收入：指事业单位开展专业业务活动及辅助活动取得的收入。</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四、其他收入：指除上述</w:t>
      </w:r>
      <w:r>
        <w:rPr>
          <w:rFonts w:ascii="Times New Roman" w:hAnsi="Times New Roman" w:eastAsia="Times New Roman" w:cs="Times New Roman"/>
          <w:color w:val="000000"/>
          <w:kern w:val="0"/>
          <w:sz w:val="32"/>
          <w:szCs w:val="30"/>
          <w:highlight w:val="none"/>
        </w:rPr>
        <w:t>“</w:t>
      </w:r>
      <w:r>
        <w:rPr>
          <w:rFonts w:hint="eastAsia" w:ascii="宋体" w:hAnsi="宋体" w:cs="宋体"/>
          <w:color w:val="000000"/>
          <w:kern w:val="0"/>
          <w:sz w:val="32"/>
          <w:szCs w:val="30"/>
          <w:highlight w:val="none"/>
        </w:rPr>
        <w:t>财政拨款收入</w:t>
      </w:r>
      <w:r>
        <w:rPr>
          <w:rFonts w:ascii="Times New Roman" w:hAnsi="Times New Roman" w:eastAsia="Times New Roman" w:cs="Times New Roman"/>
          <w:color w:val="000000"/>
          <w:kern w:val="0"/>
          <w:sz w:val="32"/>
          <w:szCs w:val="30"/>
          <w:highlight w:val="none"/>
        </w:rPr>
        <w:t>”“</w:t>
      </w:r>
      <w:r>
        <w:rPr>
          <w:rFonts w:hint="eastAsia" w:ascii="宋体" w:hAnsi="宋体" w:cs="宋体"/>
          <w:color w:val="000000"/>
          <w:kern w:val="0"/>
          <w:sz w:val="32"/>
          <w:szCs w:val="30"/>
          <w:highlight w:val="none"/>
        </w:rPr>
        <w:t>事业收入</w:t>
      </w:r>
      <w:r>
        <w:rPr>
          <w:rFonts w:ascii="Times New Roman" w:hAnsi="Times New Roman" w:eastAsia="Times New Roman" w:cs="Times New Roman"/>
          <w:color w:val="000000"/>
          <w:kern w:val="0"/>
          <w:sz w:val="32"/>
          <w:szCs w:val="30"/>
          <w:highlight w:val="none"/>
        </w:rPr>
        <w:t>”“</w:t>
      </w:r>
      <w:r>
        <w:rPr>
          <w:rFonts w:hint="eastAsia" w:ascii="宋体" w:hAnsi="宋体" w:cs="宋体"/>
          <w:color w:val="000000"/>
          <w:kern w:val="0"/>
          <w:sz w:val="32"/>
          <w:szCs w:val="30"/>
          <w:highlight w:val="none"/>
        </w:rPr>
        <w:t>经营收入</w:t>
      </w:r>
      <w:r>
        <w:rPr>
          <w:rFonts w:ascii="Times New Roman" w:hAnsi="Times New Roman" w:eastAsia="Times New Roman" w:cs="Times New Roman"/>
          <w:color w:val="000000"/>
          <w:kern w:val="0"/>
          <w:sz w:val="32"/>
          <w:szCs w:val="30"/>
          <w:highlight w:val="none"/>
        </w:rPr>
        <w:t>”</w:t>
      </w:r>
      <w:r>
        <w:rPr>
          <w:rFonts w:hint="eastAsia" w:ascii="宋体" w:hAnsi="宋体" w:cs="宋体"/>
          <w:color w:val="000000"/>
          <w:kern w:val="0"/>
          <w:sz w:val="32"/>
          <w:szCs w:val="30"/>
          <w:highlight w:val="none"/>
        </w:rPr>
        <w:t>等以外的收入。</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五、年初结转和结余：指以前年度尚未完成、结转到本年按有关规定继续使用的资金。</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六、基本支出：指行政事业单位用于为保障其机构正常运转、完成日常工作任务而发生的人员支出和公用支出。</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十、项目支出：指各</w:t>
      </w:r>
      <w:r>
        <w:rPr>
          <w:rFonts w:hint="eastAsia" w:ascii="宋体" w:hAnsi="宋体" w:cs="宋体"/>
          <w:color w:val="000000"/>
          <w:kern w:val="0"/>
          <w:sz w:val="32"/>
          <w:szCs w:val="30"/>
          <w:highlight w:val="none"/>
          <w:lang w:eastAsia="zh-CN"/>
        </w:rPr>
        <w:t>单位</w:t>
      </w:r>
      <w:r>
        <w:rPr>
          <w:rFonts w:hint="eastAsia" w:ascii="宋体" w:hAnsi="宋体" w:cs="宋体"/>
          <w:color w:val="000000"/>
          <w:kern w:val="0"/>
          <w:sz w:val="32"/>
          <w:szCs w:val="30"/>
          <w:highlight w:val="none"/>
        </w:rPr>
        <w:t>、各单位为完成其特定的工作任务和事业发展目标所发生的支出。</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十一、</w:t>
      </w:r>
      <w:r>
        <w:rPr>
          <w:rFonts w:ascii="Times New Roman" w:hAnsi="Times New Roman" w:eastAsia="Times New Roman" w:cs="Times New Roman"/>
          <w:color w:val="000000"/>
          <w:kern w:val="0"/>
          <w:sz w:val="32"/>
          <w:szCs w:val="30"/>
          <w:highlight w:val="none"/>
        </w:rPr>
        <w:t>“</w:t>
      </w:r>
      <w:r>
        <w:rPr>
          <w:rFonts w:hint="eastAsia" w:ascii="宋体" w:hAnsi="宋体" w:cs="宋体"/>
          <w:color w:val="000000"/>
          <w:kern w:val="0"/>
          <w:sz w:val="32"/>
          <w:szCs w:val="30"/>
          <w:highlight w:val="none"/>
        </w:rPr>
        <w:t>三公</w:t>
      </w:r>
      <w:r>
        <w:rPr>
          <w:rFonts w:ascii="Times New Roman" w:hAnsi="Times New Roman" w:eastAsia="Times New Roman" w:cs="Times New Roman"/>
          <w:color w:val="000000"/>
          <w:kern w:val="0"/>
          <w:sz w:val="32"/>
          <w:szCs w:val="30"/>
          <w:highlight w:val="none"/>
        </w:rPr>
        <w:t>”</w:t>
      </w:r>
      <w:r>
        <w:rPr>
          <w:rFonts w:hint="eastAsia" w:ascii="宋体" w:hAnsi="宋体" w:cs="宋体"/>
          <w:color w:val="000000"/>
          <w:kern w:val="0"/>
          <w:sz w:val="32"/>
          <w:szCs w:val="30"/>
          <w:highlight w:val="none"/>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Times New Roman" w:cs="Times New Roman"/>
          <w:color w:val="000000"/>
          <w:kern w:val="0"/>
          <w:sz w:val="32"/>
          <w:szCs w:val="30"/>
          <w:highlight w:val="none"/>
        </w:rPr>
      </w:pPr>
      <w:r>
        <w:rPr>
          <w:rFonts w:hint="eastAsia" w:ascii="宋体" w:hAnsi="宋体"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Times New Roman" w:cs="Times New Roman"/>
          <w:color w:val="000000"/>
          <w:kern w:val="0"/>
          <w:sz w:val="32"/>
          <w:szCs w:val="30"/>
          <w:highlight w:val="none"/>
        </w:rPr>
      </w:pPr>
    </w:p>
    <w:p>
      <w:pPr>
        <w:ind w:firstLine="640" w:firstLineChars="200"/>
        <w:rPr>
          <w:rFonts w:ascii="Times New Roman" w:hAnsi="Times New Roman" w:eastAsia="Times New Roman" w:cs="Times New Roman"/>
          <w:sz w:val="32"/>
          <w:szCs w:val="32"/>
          <w:highlight w:val="none"/>
        </w:rPr>
      </w:pPr>
    </w:p>
    <w:p>
      <w:pPr>
        <w:ind w:firstLine="640" w:firstLineChars="200"/>
        <w:jc w:val="left"/>
        <w:rPr>
          <w:rFonts w:ascii="Times New Roman" w:hAnsi="Times New Roman" w:eastAsia="Times New Roman" w:cs="Times New Roman"/>
          <w:sz w:val="32"/>
          <w:szCs w:val="32"/>
          <w:highlight w:val="none"/>
        </w:rPr>
      </w:pPr>
    </w:p>
    <w:p>
      <w:pPr>
        <w:rPr>
          <w:rFonts w:ascii="Times New Roman" w:hAnsi="Times New Roman" w:cs="Times New Roman"/>
          <w:highlight w:val="none"/>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Fonts w:cs="黑体"/>
      </w:rPr>
    </w:pPr>
    <w:r>
      <w:rPr>
        <w:rStyle w:val="4"/>
        <w:rFonts w:cs="黑体"/>
      </w:rPr>
      <w:fldChar w:fldCharType="begin"/>
    </w:r>
    <w:r>
      <w:rPr>
        <w:rStyle w:val="4"/>
        <w:rFonts w:cs="黑体"/>
      </w:rPr>
      <w:instrText xml:space="preserve">PAGE  </w:instrText>
    </w:r>
    <w:r>
      <w:rPr>
        <w:rStyle w:val="4"/>
        <w:rFonts w:cs="黑体"/>
      </w:rPr>
      <w:fldChar w:fldCharType="separate"/>
    </w:r>
    <w:r>
      <w:rPr>
        <w:rStyle w:val="4"/>
        <w:rFonts w:cs="黑体"/>
      </w:rPr>
      <w:t>7</w:t>
    </w:r>
    <w:r>
      <w:rPr>
        <w:rStyle w:val="4"/>
        <w:rFonts w:cs="黑体"/>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Fonts w:cs="黑体"/>
      </w:rPr>
    </w:pPr>
    <w:r>
      <w:rPr>
        <w:rStyle w:val="4"/>
        <w:rFonts w:cs="黑体"/>
      </w:rPr>
      <w:fldChar w:fldCharType="begin"/>
    </w:r>
    <w:r>
      <w:rPr>
        <w:rStyle w:val="4"/>
        <w:rFonts w:cs="黑体"/>
      </w:rPr>
      <w:instrText xml:space="preserve">PAGE  </w:instrText>
    </w:r>
    <w:r>
      <w:rPr>
        <w:rStyle w:val="4"/>
        <w:rFonts w:cs="黑体"/>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_GB2312" w:hAnsi="??_GB2312" w:eastAsia="Times New Roman" w:cs="??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B46AB"/>
    <w:rsid w:val="0005647B"/>
    <w:rsid w:val="002F29B0"/>
    <w:rsid w:val="00323DB7"/>
    <w:rsid w:val="003518BF"/>
    <w:rsid w:val="003D5009"/>
    <w:rsid w:val="003D7306"/>
    <w:rsid w:val="00405AAE"/>
    <w:rsid w:val="00426DA1"/>
    <w:rsid w:val="004B4FE2"/>
    <w:rsid w:val="004F445C"/>
    <w:rsid w:val="00680D1C"/>
    <w:rsid w:val="008D05E7"/>
    <w:rsid w:val="00932806"/>
    <w:rsid w:val="00991FBC"/>
    <w:rsid w:val="009E2106"/>
    <w:rsid w:val="00A827BA"/>
    <w:rsid w:val="00AA704E"/>
    <w:rsid w:val="00AC15E9"/>
    <w:rsid w:val="00AE0964"/>
    <w:rsid w:val="00BF081E"/>
    <w:rsid w:val="00D71505"/>
    <w:rsid w:val="00E671CF"/>
    <w:rsid w:val="00FE3CA4"/>
    <w:rsid w:val="035A5461"/>
    <w:rsid w:val="082763D4"/>
    <w:rsid w:val="09454BA5"/>
    <w:rsid w:val="0E995112"/>
    <w:rsid w:val="10B906DA"/>
    <w:rsid w:val="120B6968"/>
    <w:rsid w:val="1504164A"/>
    <w:rsid w:val="152718A8"/>
    <w:rsid w:val="1BFD69FB"/>
    <w:rsid w:val="1CA23946"/>
    <w:rsid w:val="1E80117D"/>
    <w:rsid w:val="20C06AB5"/>
    <w:rsid w:val="2234654E"/>
    <w:rsid w:val="22C225CB"/>
    <w:rsid w:val="28AF4265"/>
    <w:rsid w:val="2AB56E4D"/>
    <w:rsid w:val="2BAD7E2A"/>
    <w:rsid w:val="2C214B5D"/>
    <w:rsid w:val="2CE709A8"/>
    <w:rsid w:val="30E73519"/>
    <w:rsid w:val="37FC1E98"/>
    <w:rsid w:val="39C77519"/>
    <w:rsid w:val="39CA4698"/>
    <w:rsid w:val="39F31B65"/>
    <w:rsid w:val="3D6201ED"/>
    <w:rsid w:val="3E8E2947"/>
    <w:rsid w:val="3EA81322"/>
    <w:rsid w:val="40A0686A"/>
    <w:rsid w:val="47A04B47"/>
    <w:rsid w:val="4A6B46AB"/>
    <w:rsid w:val="4E2B3394"/>
    <w:rsid w:val="50A10E7D"/>
    <w:rsid w:val="51333F8E"/>
    <w:rsid w:val="529F2F7A"/>
    <w:rsid w:val="55641BAE"/>
    <w:rsid w:val="55750C9E"/>
    <w:rsid w:val="55907840"/>
    <w:rsid w:val="5763613D"/>
    <w:rsid w:val="5BF645A1"/>
    <w:rsid w:val="5F6473D8"/>
    <w:rsid w:val="5F8A4B01"/>
    <w:rsid w:val="63247F9A"/>
    <w:rsid w:val="63511B51"/>
    <w:rsid w:val="683E0D08"/>
    <w:rsid w:val="6DAB79C0"/>
    <w:rsid w:val="6DD44698"/>
    <w:rsid w:val="6E4D3A17"/>
    <w:rsid w:val="6EB23E19"/>
    <w:rsid w:val="73DF24FA"/>
    <w:rsid w:val="76A6757B"/>
    <w:rsid w:val="76CD099A"/>
    <w:rsid w:val="78693308"/>
    <w:rsid w:val="78763FC9"/>
    <w:rsid w:val="78F4209F"/>
    <w:rsid w:val="7B1C31EA"/>
    <w:rsid w:val="7B3D2CF1"/>
    <w:rsid w:val="7C2D4690"/>
    <w:rsid w:val="7D4D7A31"/>
  </w:rsids>
  <m:mathPr>
    <m:lMargin m:val="0"/>
    <m:mathFont m:val="Cambria Math"/>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character" w:styleId="4">
    <w:name w:val="page number"/>
    <w:basedOn w:val="3"/>
    <w:qFormat/>
    <w:uiPriority w:val="99"/>
    <w:rPr>
      <w:rFonts w:cs="Times New Roman"/>
    </w:rPr>
  </w:style>
  <w:style w:type="character" w:customStyle="1" w:styleId="6">
    <w:name w:val="Footer Char"/>
    <w:basedOn w:val="3"/>
    <w:link w:val="2"/>
    <w:semiHidden/>
    <w:qFormat/>
    <w:locked/>
    <w:uiPriority w:val="99"/>
    <w:rPr>
      <w:rFonts w:ascii="Calibri" w:hAnsi="Calibri" w:cs="黑体"/>
      <w:sz w:val="18"/>
      <w:szCs w:val="18"/>
    </w:rPr>
  </w:style>
  <w:style w:type="paragraph" w:customStyle="1" w:styleId="7">
    <w:name w:val="List Paragraph1"/>
    <w:basedOn w:val="1"/>
    <w:qFormat/>
    <w:uiPriority w:val="99"/>
    <w:pPr>
      <w:ind w:firstLine="420" w:firstLineChars="200"/>
    </w:pPr>
  </w:style>
  <w:style w:type="paragraph" w:customStyle="1" w:styleId="8">
    <w:name w:val="List Paragraph11"/>
    <w:basedOn w:val="1"/>
    <w:qFormat/>
    <w:uiPriority w:val="99"/>
    <w:pPr>
      <w:ind w:firstLine="420" w:firstLineChars="200"/>
    </w:pPr>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三亚市直属党政机关单位</Company>
  <Pages>9</Pages>
  <Words>427</Words>
  <Characters>2438</Characters>
  <Lines>0</Lines>
  <Paragraphs>0</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2021-03-04T09:55:00Z</dcterms:created>
  <dc:creator>王小冬</dc:creator>
  <cp:lastModifiedBy>Administrator</cp:lastModifiedBy>
  <dcterms:modified xsi:type="dcterms:W3CDTF">2023-09-29T02:18:38Z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2442CDAC7FE5420C882D4B1374A5589E</vt:lpwstr>
  </property>
</Properties>
</file>