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84"/>
          <w:szCs w:val="84"/>
          <w:lang w:val="en-US" w:eastAsia="zh-CN"/>
        </w:rPr>
      </w:pPr>
      <w:r>
        <w:rPr>
          <w:rFonts w:hint="eastAsia"/>
          <w:sz w:val="84"/>
          <w:szCs w:val="84"/>
          <w:lang w:val="en-US" w:eastAsia="zh-CN"/>
        </w:rPr>
        <w:t xml:space="preserve">  </w:t>
      </w:r>
    </w:p>
    <w:p>
      <w:pPr>
        <w:jc w:val="center"/>
        <w:rPr>
          <w:rFonts w:hint="eastAsia"/>
          <w:sz w:val="84"/>
          <w:szCs w:val="84"/>
          <w:lang w:val="en-US" w:eastAsia="zh-CN"/>
        </w:rPr>
      </w:pPr>
    </w:p>
    <w:p>
      <w:pPr>
        <w:jc w:val="center"/>
        <w:rPr>
          <w:rFonts w:hint="eastAsia"/>
          <w:sz w:val="84"/>
          <w:szCs w:val="84"/>
          <w:lang w:val="en-US" w:eastAsia="zh-CN"/>
        </w:rPr>
      </w:pPr>
    </w:p>
    <w:p>
      <w:pPr>
        <w:jc w:val="center"/>
        <w:rPr>
          <w:rFonts w:hint="eastAsia"/>
          <w:sz w:val="84"/>
          <w:szCs w:val="84"/>
          <w:lang w:val="en-US" w:eastAsia="zh-CN"/>
        </w:rPr>
      </w:pPr>
    </w:p>
    <w:p>
      <w:pPr>
        <w:jc w:val="center"/>
        <w:rPr>
          <w:rFonts w:hint="eastAsia" w:ascii="宋体" w:hAnsi="宋体" w:eastAsia="宋体" w:cs="宋体"/>
          <w:sz w:val="52"/>
          <w:szCs w:val="52"/>
        </w:rPr>
      </w:pPr>
      <w:r>
        <w:rPr>
          <w:rFonts w:hint="eastAsia" w:ascii="宋体" w:hAnsi="宋体" w:eastAsia="宋体" w:cs="宋体"/>
          <w:sz w:val="52"/>
          <w:szCs w:val="52"/>
          <w:lang w:val="en-US" w:eastAsia="zh-CN"/>
        </w:rPr>
        <w:t>2022</w:t>
      </w:r>
      <w:r>
        <w:rPr>
          <w:rFonts w:hint="eastAsia" w:ascii="宋体" w:hAnsi="宋体" w:eastAsia="宋体" w:cs="宋体"/>
          <w:sz w:val="52"/>
          <w:szCs w:val="52"/>
        </w:rPr>
        <w:t>年</w:t>
      </w:r>
      <w:r>
        <w:rPr>
          <w:rFonts w:hint="eastAsia" w:ascii="宋体" w:hAnsi="宋体" w:eastAsia="宋体" w:cs="宋体"/>
          <w:sz w:val="52"/>
          <w:szCs w:val="52"/>
          <w:lang w:eastAsia="zh-CN"/>
        </w:rPr>
        <w:t>三亚市土地整理中心</w:t>
      </w:r>
      <w:r>
        <w:rPr>
          <w:rFonts w:hint="eastAsia" w:ascii="宋体" w:hAnsi="宋体" w:eastAsia="宋体" w:cs="宋体"/>
          <w:sz w:val="52"/>
          <w:szCs w:val="52"/>
        </w:rPr>
        <w:t>预算</w:t>
      </w: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hint="eastAsia"/>
          <w:sz w:val="52"/>
          <w:szCs w:val="52"/>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4"/>
        <w:numPr>
          <w:ilvl w:val="0"/>
          <w:numId w:val="1"/>
        </w:numPr>
        <w:ind w:left="420" w:leftChars="0" w:firstLineChars="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三亚市土地整理中心概况</w:t>
      </w:r>
    </w:p>
    <w:p>
      <w:pPr>
        <w:pStyle w:val="4"/>
        <w:numPr>
          <w:ilvl w:val="0"/>
          <w:numId w:val="2"/>
        </w:numPr>
        <w:jc w:val="left"/>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主要职能</w:t>
      </w:r>
    </w:p>
    <w:p>
      <w:pPr>
        <w:pStyle w:val="4"/>
        <w:numPr>
          <w:ilvl w:val="0"/>
          <w:numId w:val="2"/>
        </w:numPr>
        <w:jc w:val="left"/>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机构情况</w:t>
      </w:r>
    </w:p>
    <w:p>
      <w:pPr>
        <w:pStyle w:val="4"/>
        <w:numPr>
          <w:ilvl w:val="0"/>
          <w:numId w:val="1"/>
        </w:numPr>
        <w:ind w:left="420" w:leftChars="0" w:firstLine="640" w:firstLineChars="0"/>
        <w:jc w:val="left"/>
        <w:rPr>
          <w:rFonts w:hint="eastAsia" w:ascii="宋体" w:hAnsi="宋体" w:eastAsia="宋体" w:cs="宋体"/>
          <w:color w:val="auto"/>
          <w:sz w:val="32"/>
          <w:szCs w:val="32"/>
          <w:lang w:val="en-US" w:eastAsia="zh-CN"/>
        </w:rPr>
      </w:pPr>
      <w:r>
        <w:rPr>
          <w:rFonts w:hint="eastAsia" w:ascii="黑体" w:hAnsi="黑体" w:eastAsia="黑体" w:cs="黑体"/>
          <w:color w:val="auto"/>
          <w:sz w:val="32"/>
          <w:szCs w:val="32"/>
          <w:lang w:val="en-US" w:eastAsia="zh-CN"/>
        </w:rPr>
        <w:t>三亚市土地整理中心2022年单位预算表</w:t>
      </w:r>
    </w:p>
    <w:p>
      <w:pPr>
        <w:pStyle w:val="4"/>
        <w:numPr>
          <w:ilvl w:val="0"/>
          <w:numId w:val="3"/>
        </w:numPr>
        <w:ind w:left="1560" w:leftChars="0" w:firstLineChars="0"/>
        <w:rPr>
          <w:rFonts w:hint="eastAsia" w:ascii="宋体" w:hAnsi="宋体" w:eastAsia="宋体" w:cs="宋体"/>
          <w:color w:val="auto"/>
          <w:sz w:val="32"/>
          <w:szCs w:val="32"/>
        </w:rPr>
      </w:pPr>
      <w:r>
        <w:rPr>
          <w:rFonts w:hint="eastAsia" w:ascii="宋体" w:hAnsi="宋体" w:eastAsia="宋体" w:cs="宋体"/>
          <w:color w:val="auto"/>
          <w:sz w:val="32"/>
          <w:szCs w:val="32"/>
        </w:rPr>
        <w:t>财政拨款收支总表</w:t>
      </w:r>
    </w:p>
    <w:p>
      <w:pPr>
        <w:pStyle w:val="4"/>
        <w:numPr>
          <w:ilvl w:val="0"/>
          <w:numId w:val="3"/>
        </w:numPr>
        <w:ind w:left="1560" w:leftChars="0" w:firstLineChars="0"/>
        <w:rPr>
          <w:rFonts w:hint="eastAsia" w:ascii="宋体" w:hAnsi="宋体" w:eastAsia="宋体" w:cs="宋体"/>
          <w:color w:val="auto"/>
          <w:sz w:val="32"/>
          <w:szCs w:val="32"/>
        </w:rPr>
      </w:pPr>
      <w:r>
        <w:rPr>
          <w:rFonts w:hint="eastAsia" w:ascii="宋体" w:hAnsi="宋体" w:eastAsia="宋体" w:cs="宋体"/>
          <w:color w:val="auto"/>
          <w:sz w:val="32"/>
          <w:szCs w:val="32"/>
        </w:rPr>
        <w:t>一般公共预算支出表</w:t>
      </w:r>
    </w:p>
    <w:p>
      <w:pPr>
        <w:pStyle w:val="4"/>
        <w:numPr>
          <w:ilvl w:val="0"/>
          <w:numId w:val="3"/>
        </w:numPr>
        <w:ind w:left="1560" w:leftChars="0" w:firstLineChars="0"/>
        <w:rPr>
          <w:rFonts w:hint="eastAsia" w:ascii="宋体" w:hAnsi="宋体" w:eastAsia="宋体" w:cs="宋体"/>
          <w:color w:val="auto"/>
          <w:sz w:val="32"/>
          <w:szCs w:val="32"/>
        </w:rPr>
      </w:pPr>
      <w:r>
        <w:rPr>
          <w:rFonts w:hint="eastAsia" w:ascii="宋体" w:hAnsi="宋体" w:eastAsia="宋体" w:cs="宋体"/>
          <w:color w:val="auto"/>
          <w:sz w:val="32"/>
          <w:szCs w:val="32"/>
        </w:rPr>
        <w:t>一般公共预算基本支出表</w:t>
      </w:r>
    </w:p>
    <w:p>
      <w:pPr>
        <w:pStyle w:val="4"/>
        <w:numPr>
          <w:ilvl w:val="0"/>
          <w:numId w:val="3"/>
        </w:numPr>
        <w:ind w:left="1560" w:leftChars="0" w:firstLineChars="0"/>
        <w:rPr>
          <w:rFonts w:hint="eastAsia" w:ascii="宋体" w:hAnsi="宋体" w:eastAsia="宋体" w:cs="宋体"/>
          <w:color w:val="auto"/>
          <w:sz w:val="32"/>
          <w:szCs w:val="32"/>
        </w:rPr>
      </w:pPr>
      <w:r>
        <w:rPr>
          <w:rFonts w:hint="eastAsia" w:ascii="宋体" w:hAnsi="宋体" w:eastAsia="宋体" w:cs="宋体"/>
          <w:color w:val="auto"/>
          <w:sz w:val="32"/>
          <w:szCs w:val="32"/>
        </w:rPr>
        <w:t>一般公共预算“三公”经费支出表</w:t>
      </w:r>
    </w:p>
    <w:p>
      <w:pPr>
        <w:pStyle w:val="4"/>
        <w:numPr>
          <w:ilvl w:val="0"/>
          <w:numId w:val="3"/>
        </w:numPr>
        <w:ind w:left="1560" w:leftChars="0" w:firstLineChars="0"/>
        <w:rPr>
          <w:rFonts w:hint="eastAsia" w:ascii="宋体" w:hAnsi="宋体" w:eastAsia="宋体" w:cs="宋体"/>
          <w:color w:val="auto"/>
          <w:sz w:val="32"/>
          <w:szCs w:val="32"/>
        </w:rPr>
      </w:pPr>
      <w:r>
        <w:rPr>
          <w:rFonts w:hint="eastAsia" w:ascii="宋体" w:hAnsi="宋体" w:eastAsia="宋体" w:cs="宋体"/>
          <w:color w:val="auto"/>
          <w:sz w:val="32"/>
          <w:szCs w:val="32"/>
        </w:rPr>
        <w:t>政府性基金预算支出表。</w:t>
      </w:r>
    </w:p>
    <w:p>
      <w:pPr>
        <w:pStyle w:val="4"/>
        <w:numPr>
          <w:ilvl w:val="0"/>
          <w:numId w:val="3"/>
        </w:numPr>
        <w:ind w:left="1560" w:leftChars="0" w:firstLineChars="0"/>
        <w:rPr>
          <w:rFonts w:hint="eastAsia" w:ascii="宋体" w:hAnsi="宋体" w:eastAsia="宋体" w:cs="宋体"/>
          <w:color w:val="auto"/>
          <w:sz w:val="32"/>
          <w:szCs w:val="32"/>
        </w:rPr>
      </w:pPr>
      <w:r>
        <w:rPr>
          <w:rFonts w:hint="eastAsia" w:ascii="宋体" w:hAnsi="宋体" w:eastAsia="宋体" w:cs="宋体"/>
          <w:color w:val="auto"/>
          <w:sz w:val="32"/>
          <w:szCs w:val="32"/>
        </w:rPr>
        <w:t>政府性基金预算“三公”经费支出表</w:t>
      </w:r>
    </w:p>
    <w:p>
      <w:pPr>
        <w:pStyle w:val="4"/>
        <w:numPr>
          <w:ilvl w:val="0"/>
          <w:numId w:val="3"/>
        </w:numPr>
        <w:ind w:left="1560" w:leftChars="0"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收支总表</w:t>
      </w:r>
    </w:p>
    <w:p>
      <w:pPr>
        <w:pStyle w:val="4"/>
        <w:numPr>
          <w:ilvl w:val="0"/>
          <w:numId w:val="3"/>
        </w:numPr>
        <w:ind w:left="1560" w:leftChars="0"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收入总表</w:t>
      </w:r>
    </w:p>
    <w:p>
      <w:pPr>
        <w:pStyle w:val="4"/>
        <w:numPr>
          <w:ilvl w:val="0"/>
          <w:numId w:val="3"/>
        </w:numPr>
        <w:ind w:left="1560" w:leftChars="0"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支出总表</w:t>
      </w:r>
    </w:p>
    <w:p>
      <w:pPr>
        <w:pStyle w:val="4"/>
        <w:numPr>
          <w:ilvl w:val="0"/>
          <w:numId w:val="3"/>
        </w:numPr>
        <w:ind w:left="1560" w:leftChars="0"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项目支出绩效信息表</w:t>
      </w:r>
    </w:p>
    <w:p>
      <w:pPr>
        <w:pStyle w:val="4"/>
        <w:numPr>
          <w:ilvl w:val="0"/>
          <w:numId w:val="1"/>
        </w:numPr>
        <w:ind w:left="420" w:leftChars="0" w:firstLine="640" w:firstLineChars="0"/>
        <w:jc w:val="lef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三亚市土地整理中心2022年单位预算情况说明</w:t>
      </w:r>
    </w:p>
    <w:p>
      <w:pPr>
        <w:pStyle w:val="4"/>
        <w:numPr>
          <w:ilvl w:val="0"/>
          <w:numId w:val="1"/>
        </w:numPr>
        <w:ind w:left="420" w:leftChars="0" w:firstLine="640" w:firstLineChars="0"/>
        <w:jc w:val="left"/>
        <w:rPr>
          <w:rFonts w:hint="eastAsia" w:ascii="黑体" w:hAnsi="黑体" w:eastAsia="黑体" w:cs="黑体"/>
          <w:color w:val="FF0000"/>
          <w:sz w:val="32"/>
          <w:szCs w:val="32"/>
          <w:lang w:val="en-US" w:eastAsia="zh-CN"/>
        </w:rPr>
      </w:pPr>
      <w:r>
        <w:rPr>
          <w:rFonts w:hint="eastAsia" w:ascii="黑体" w:hAnsi="黑体" w:eastAsia="黑体" w:cs="黑体"/>
          <w:color w:val="auto"/>
          <w:sz w:val="32"/>
          <w:szCs w:val="32"/>
          <w:lang w:val="en-US" w:eastAsia="zh-CN"/>
        </w:rPr>
        <w:t>名词解释</w:t>
      </w: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宋体" w:hAnsi="宋体" w:eastAsia="宋体" w:cs="宋体"/>
          <w:color w:val="FF0000"/>
          <w:sz w:val="32"/>
          <w:szCs w:val="32"/>
          <w:lang w:val="en-US" w:eastAsia="zh-CN"/>
        </w:rPr>
      </w:pPr>
    </w:p>
    <w:p>
      <w:pPr>
        <w:pStyle w:val="4"/>
        <w:widowControl w:val="0"/>
        <w:numPr>
          <w:ilvl w:val="0"/>
          <w:numId w:val="0"/>
        </w:numPr>
        <w:jc w:val="left"/>
        <w:rPr>
          <w:rFonts w:hint="eastAsia" w:ascii="仿宋_GB2312" w:hAnsi="仿宋_GB2312" w:eastAsia="仿宋_GB2312" w:cs="仿宋_GB2312"/>
          <w:color w:val="FF0000"/>
          <w:sz w:val="32"/>
          <w:szCs w:val="32"/>
          <w:lang w:val="en-US" w:eastAsia="zh-CN"/>
        </w:rPr>
      </w:pPr>
    </w:p>
    <w:p>
      <w:pPr>
        <w:pStyle w:val="4"/>
        <w:keepNext w:val="0"/>
        <w:keepLines w:val="0"/>
        <w:pageBreakBefore w:val="0"/>
        <w:widowControl w:val="0"/>
        <w:numPr>
          <w:ilvl w:val="0"/>
          <w:numId w:val="4"/>
        </w:numPr>
        <w:kinsoku/>
        <w:wordWrap/>
        <w:overflowPunct/>
        <w:topLinePunct w:val="0"/>
        <w:autoSpaceDE/>
        <w:autoSpaceDN/>
        <w:bidi w:val="0"/>
        <w:adjustRightInd/>
        <w:snapToGrid/>
        <w:spacing w:line="572" w:lineRule="exact"/>
        <w:ind w:left="0" w:leftChars="0" w:firstLineChars="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三亚市土地整理中心概况</w:t>
      </w:r>
    </w:p>
    <w:p>
      <w:pPr>
        <w:pStyle w:val="4"/>
        <w:keepNext w:val="0"/>
        <w:keepLines w:val="0"/>
        <w:pageBreakBefore w:val="0"/>
        <w:widowControl w:val="0"/>
        <w:numPr>
          <w:ilvl w:val="0"/>
          <w:numId w:val="5"/>
        </w:numPr>
        <w:kinsoku/>
        <w:wordWrap/>
        <w:overflowPunct/>
        <w:topLinePunct w:val="0"/>
        <w:autoSpaceDE/>
        <w:autoSpaceDN/>
        <w:bidi w:val="0"/>
        <w:adjustRightInd/>
        <w:snapToGrid/>
        <w:spacing w:line="572" w:lineRule="exact"/>
        <w:ind w:left="210" w:leftChars="0" w:firstLineChars="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黑体" w:hAnsi="黑体" w:eastAsia="黑体" w:cs="黑体"/>
          <w:color w:val="auto"/>
          <w:sz w:val="32"/>
          <w:szCs w:val="32"/>
          <w:lang w:val="en-US" w:eastAsia="zh-CN"/>
        </w:rPr>
        <w:t>主要职能</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572" w:lineRule="exact"/>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承担我市的土地开发整理的立项、可行性研究、规划设计和投资预算编制及项目实施和后续管护工作；</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572" w:lineRule="exact"/>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负责土地土地开发整理专项资金的使用和管理，承担土地整治项目的监督检查和竣工验收。</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572" w:lineRule="exact"/>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负责拨付参与拟定土地开发整理项目的财政补助标准，并对下拨的资金使用情况进行监督检查。</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572" w:lineRule="exact"/>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负责耕地后备资源库和补充耕地储备库的建设和日常管理。</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572" w:lineRule="exact"/>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负责农转用报件中的补充耕地方案的制定。</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572" w:lineRule="exact"/>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负责收购由社会机构和农村集体经济组织自行投资开发的用语耕地占补平衡的补充耕地指标。</w:t>
      </w:r>
    </w:p>
    <w:p>
      <w:pPr>
        <w:pStyle w:val="4"/>
        <w:keepNext w:val="0"/>
        <w:keepLines w:val="0"/>
        <w:pageBreakBefore w:val="0"/>
        <w:widowControl w:val="0"/>
        <w:numPr>
          <w:ilvl w:val="0"/>
          <w:numId w:val="6"/>
        </w:numPr>
        <w:kinsoku/>
        <w:wordWrap/>
        <w:overflowPunct/>
        <w:topLinePunct w:val="0"/>
        <w:autoSpaceDE/>
        <w:autoSpaceDN/>
        <w:bidi w:val="0"/>
        <w:adjustRightInd/>
        <w:snapToGrid/>
        <w:spacing w:line="572" w:lineRule="exact"/>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承办上级部门交办的其他工作。</w:t>
      </w:r>
    </w:p>
    <w:p>
      <w:pPr>
        <w:pStyle w:val="4"/>
        <w:keepNext w:val="0"/>
        <w:keepLines w:val="0"/>
        <w:pageBreakBefore w:val="0"/>
        <w:widowControl w:val="0"/>
        <w:numPr>
          <w:ilvl w:val="0"/>
          <w:numId w:val="5"/>
        </w:numPr>
        <w:kinsoku/>
        <w:wordWrap/>
        <w:overflowPunct/>
        <w:topLinePunct w:val="0"/>
        <w:autoSpaceDE/>
        <w:autoSpaceDN/>
        <w:bidi w:val="0"/>
        <w:adjustRightInd/>
        <w:snapToGrid/>
        <w:spacing w:line="572" w:lineRule="exact"/>
        <w:ind w:left="210" w:leftChars="0" w:firstLine="420" w:firstLineChars="0"/>
        <w:jc w:val="left"/>
        <w:textAlignment w:val="auto"/>
        <w:rPr>
          <w:rFonts w:ascii="仿宋_GB2312" w:hAnsi="仿宋_GB2312" w:eastAsia="仿宋_GB2312"/>
          <w:b w:val="0"/>
          <w:bCs/>
          <w:sz w:val="32"/>
          <w:szCs w:val="32"/>
        </w:rPr>
      </w:pPr>
      <w:r>
        <w:rPr>
          <w:rFonts w:hint="eastAsia" w:asciiTheme="minorEastAsia" w:hAnsiTheme="minorEastAsia" w:cstheme="minorEastAsia"/>
          <w:color w:val="auto"/>
          <w:sz w:val="32"/>
          <w:szCs w:val="32"/>
          <w:lang w:val="en-US" w:eastAsia="zh-CN"/>
        </w:rPr>
        <w:t>机构情况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cstheme="minorEastAsia"/>
          <w:color w:val="auto"/>
          <w:sz w:val="32"/>
          <w:szCs w:val="32"/>
          <w:lang w:val="en-US" w:eastAsia="zh-CN"/>
        </w:rPr>
      </w:pPr>
      <w:r>
        <w:rPr>
          <w:rFonts w:hint="eastAsia" w:ascii="仿宋_GB2312" w:eastAsia="仿宋_GB2312"/>
          <w:sz w:val="32"/>
          <w:szCs w:val="32"/>
        </w:rPr>
        <w:t>三亚市土地整理中心是经市机构编制委员会批准成立的副处级公益一类全额拨款事业单位，隶属三亚市</w:t>
      </w:r>
      <w:r>
        <w:rPr>
          <w:rFonts w:hint="eastAsia" w:ascii="仿宋_GB2312" w:eastAsia="仿宋_GB2312"/>
          <w:sz w:val="32"/>
          <w:szCs w:val="32"/>
          <w:lang w:eastAsia="zh-CN"/>
        </w:rPr>
        <w:t>自然资源和规划</w:t>
      </w:r>
      <w:r>
        <w:rPr>
          <w:rFonts w:hint="eastAsia" w:ascii="仿宋_GB2312" w:eastAsia="仿宋_GB2312"/>
          <w:sz w:val="32"/>
          <w:szCs w:val="32"/>
        </w:rPr>
        <w:t>局，</w:t>
      </w:r>
      <w:r>
        <w:rPr>
          <w:rFonts w:hint="eastAsia" w:ascii="仿宋_GB2312" w:hAnsi="仿宋_GB2312" w:eastAsia="仿宋_GB2312"/>
          <w:sz w:val="32"/>
          <w:szCs w:val="32"/>
        </w:rPr>
        <w:t>设置综合科</w:t>
      </w:r>
      <w:r>
        <w:rPr>
          <w:rFonts w:hint="default" w:ascii="Times New Roman" w:hAnsi="Times New Roman" w:eastAsia="仿宋_GB2312" w:cs="Times New Roman"/>
          <w:sz w:val="32"/>
          <w:szCs w:val="32"/>
        </w:rPr>
        <w:t>1</w:t>
      </w:r>
      <w:r>
        <w:rPr>
          <w:rFonts w:hint="eastAsia" w:ascii="仿宋_GB2312" w:hAnsi="仿宋_GB2312" w:eastAsia="仿宋_GB2312"/>
          <w:sz w:val="32"/>
          <w:szCs w:val="32"/>
        </w:rPr>
        <w:t>个内设科级机构</w:t>
      </w:r>
      <w:r>
        <w:rPr>
          <w:rFonts w:hint="eastAsia" w:ascii="仿宋_GB2312" w:eastAsia="仿宋_GB2312"/>
          <w:sz w:val="32"/>
          <w:szCs w:val="32"/>
        </w:rPr>
        <w:t>。</w:t>
      </w:r>
    </w:p>
    <w:p>
      <w:pPr>
        <w:pStyle w:val="4"/>
        <w:keepNext w:val="0"/>
        <w:keepLines w:val="0"/>
        <w:pageBreakBefore w:val="0"/>
        <w:widowControl w:val="0"/>
        <w:numPr>
          <w:ilvl w:val="0"/>
          <w:numId w:val="4"/>
        </w:numPr>
        <w:kinsoku/>
        <w:wordWrap/>
        <w:overflowPunct/>
        <w:topLinePunct w:val="0"/>
        <w:autoSpaceDE/>
        <w:autoSpaceDN/>
        <w:bidi w:val="0"/>
        <w:adjustRightInd/>
        <w:snapToGrid/>
        <w:spacing w:line="572" w:lineRule="exact"/>
        <w:ind w:left="0" w:leftChars="0" w:firstLine="640" w:firstLineChars="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年单位预算表</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572" w:lineRule="exact"/>
        <w:ind w:leftChars="200" w:firstLine="960" w:firstLineChars="30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（此部分内容即为单位预算公开表）</w:t>
      </w:r>
    </w:p>
    <w:p>
      <w:pPr>
        <w:pStyle w:val="4"/>
        <w:keepNext w:val="0"/>
        <w:keepLines w:val="0"/>
        <w:pageBreakBefore w:val="0"/>
        <w:widowControl w:val="0"/>
        <w:numPr>
          <w:ilvl w:val="0"/>
          <w:numId w:val="4"/>
        </w:numPr>
        <w:kinsoku/>
        <w:wordWrap/>
        <w:overflowPunct/>
        <w:topLinePunct w:val="0"/>
        <w:autoSpaceDE/>
        <w:autoSpaceDN/>
        <w:bidi w:val="0"/>
        <w:adjustRightInd/>
        <w:snapToGrid/>
        <w:spacing w:line="572" w:lineRule="exact"/>
        <w:ind w:left="0" w:leftChars="0" w:firstLine="640" w:firstLineChars="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年单位预算情况说明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left="840" w:leftChars="0"/>
        <w:jc w:val="left"/>
        <w:textAlignment w:val="auto"/>
        <w:rPr>
          <w:rFonts w:hint="eastAsia" w:asciiTheme="minorEastAsia" w:hAnsiTheme="minorEastAsia" w:eastAsiaTheme="minorEastAsia" w:cstheme="minorEastAsia"/>
          <w:color w:val="FF0000"/>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关于</w:t>
      </w:r>
      <w:r>
        <w:rPr>
          <w:rFonts w:hint="eastAsia" w:ascii="黑体" w:hAnsi="黑体" w:eastAsia="黑体" w:cs="黑体"/>
          <w:color w:val="auto"/>
          <w:sz w:val="32"/>
          <w:szCs w:val="32"/>
          <w:lang w:val="en-US" w:eastAsia="zh-CN"/>
        </w:rPr>
        <w:t>三亚市土地整理中心2022年</w:t>
      </w:r>
      <w:r>
        <w:rPr>
          <w:rFonts w:hint="eastAsia" w:ascii="黑体" w:hAnsi="黑体" w:eastAsia="黑体" w:cs="黑体"/>
          <w:color w:val="auto"/>
          <w:sz w:val="32"/>
          <w:szCs w:val="32"/>
        </w:rPr>
        <w:t>财政拨款收支预算情况的总体说明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cs="Times New Roman" w:eastAsiaTheme="minorEastAsia"/>
          <w:color w:val="auto"/>
          <w:sz w:val="32"/>
          <w:szCs w:val="32"/>
        </w:rPr>
      </w:pPr>
      <w:r>
        <w:rPr>
          <w:rFonts w:hint="eastAsia" w:asciiTheme="minorEastAsia" w:hAnsiTheme="minorEastAsia" w:eastAsiaTheme="minorEastAsia" w:cstheme="minorEastAsia"/>
          <w:color w:val="auto"/>
          <w:sz w:val="32"/>
          <w:szCs w:val="32"/>
          <w:lang w:val="en-US" w:eastAsia="zh-CN"/>
        </w:rPr>
        <w:t>三亚市土地整</w:t>
      </w:r>
      <w:r>
        <w:rPr>
          <w:rFonts w:hint="default" w:ascii="Times New Roman" w:hAnsi="Times New Roman" w:cs="Times New Roman" w:eastAsiaTheme="minorEastAsia"/>
          <w:color w:val="auto"/>
          <w:sz w:val="32"/>
          <w:szCs w:val="32"/>
          <w:lang w:val="en-US" w:eastAsia="zh-CN"/>
        </w:rPr>
        <w:t>理中心202</w:t>
      </w:r>
      <w:r>
        <w:rPr>
          <w:rFonts w:hint="default" w:ascii="Times New Roman" w:hAnsi="Times New Roman" w:cs="Times New Roman"/>
          <w:color w:val="auto"/>
          <w:sz w:val="32"/>
          <w:szCs w:val="32"/>
          <w:lang w:val="en-US" w:eastAsia="zh-CN"/>
        </w:rPr>
        <w:t>2</w:t>
      </w:r>
      <w:r>
        <w:rPr>
          <w:rFonts w:hint="default" w:ascii="Times New Roman" w:hAnsi="Times New Roman" w:cs="Times New Roman" w:eastAsiaTheme="minorEastAsia"/>
          <w:color w:val="auto"/>
          <w:sz w:val="32"/>
          <w:szCs w:val="32"/>
          <w:lang w:val="en-US" w:eastAsia="zh-CN"/>
        </w:rPr>
        <w:t>年</w:t>
      </w:r>
      <w:r>
        <w:rPr>
          <w:rFonts w:hint="default" w:ascii="Times New Roman" w:hAnsi="Times New Roman" w:cs="Times New Roman" w:eastAsiaTheme="minorEastAsia"/>
          <w:color w:val="auto"/>
          <w:sz w:val="32"/>
          <w:szCs w:val="32"/>
        </w:rPr>
        <w:t>财政拨款收支总预算</w:t>
      </w:r>
      <w:r>
        <w:rPr>
          <w:rFonts w:hint="default" w:ascii="Times New Roman" w:hAnsi="Times New Roman" w:cs="Times New Roman"/>
          <w:color w:val="auto"/>
          <w:sz w:val="32"/>
          <w:szCs w:val="32"/>
          <w:lang w:val="en-US" w:eastAsia="zh-CN"/>
        </w:rPr>
        <w:t>433.39</w:t>
      </w:r>
      <w:r>
        <w:rPr>
          <w:rFonts w:hint="default" w:ascii="Times New Roman" w:hAnsi="Times New Roman" w:cs="Times New Roman" w:eastAsiaTheme="minorEastAsia"/>
          <w:color w:val="auto"/>
          <w:sz w:val="32"/>
          <w:szCs w:val="32"/>
        </w:rPr>
        <w:t>万元。其中，收入总计</w:t>
      </w:r>
      <w:r>
        <w:rPr>
          <w:rFonts w:hint="default" w:ascii="Times New Roman" w:hAnsi="Times New Roman" w:cs="Times New Roman"/>
          <w:color w:val="auto"/>
          <w:sz w:val="32"/>
          <w:szCs w:val="32"/>
          <w:lang w:val="en-US" w:eastAsia="zh-CN"/>
        </w:rPr>
        <w:t>433.39</w:t>
      </w:r>
      <w:r>
        <w:rPr>
          <w:rFonts w:hint="default" w:ascii="Times New Roman" w:hAnsi="Times New Roman" w:cs="Times New Roman" w:eastAsiaTheme="minorEastAsia"/>
          <w:color w:val="auto"/>
          <w:sz w:val="32"/>
          <w:szCs w:val="32"/>
        </w:rPr>
        <w:t>万元，包括一般公共预算本年收入</w:t>
      </w:r>
      <w:r>
        <w:rPr>
          <w:rFonts w:hint="default" w:ascii="Times New Roman" w:hAnsi="Times New Roman" w:cs="Times New Roman"/>
          <w:color w:val="auto"/>
          <w:sz w:val="32"/>
          <w:szCs w:val="32"/>
          <w:lang w:val="en-US" w:eastAsia="zh-CN"/>
        </w:rPr>
        <w:t>433.39</w:t>
      </w:r>
      <w:r>
        <w:rPr>
          <w:rFonts w:hint="default" w:ascii="Times New Roman" w:hAnsi="Times New Roman" w:cs="Times New Roman" w:eastAsiaTheme="minorEastAsia"/>
          <w:color w:val="auto"/>
          <w:sz w:val="32"/>
          <w:szCs w:val="32"/>
        </w:rPr>
        <w:t>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highlight w:val="none"/>
        </w:rPr>
        <w:t>上</w:t>
      </w:r>
      <w:r>
        <w:rPr>
          <w:rFonts w:hint="default" w:ascii="Times New Roman" w:hAnsi="Times New Roman" w:cs="Times New Roman" w:eastAsiaTheme="minorEastAsia"/>
          <w:color w:val="auto"/>
          <w:sz w:val="32"/>
          <w:szCs w:val="32"/>
        </w:rPr>
        <w:t>年结转</w:t>
      </w:r>
      <w:r>
        <w:rPr>
          <w:rFonts w:hint="default" w:ascii="Times New Roman" w:hAnsi="Times New Roman" w:cs="Times New Roman" w:eastAsiaTheme="minorEastAsia"/>
          <w:color w:val="auto"/>
          <w:sz w:val="32"/>
          <w:szCs w:val="32"/>
          <w:lang w:val="en-US" w:eastAsia="zh-CN"/>
        </w:rPr>
        <w:t>0</w:t>
      </w:r>
      <w:r>
        <w:rPr>
          <w:rFonts w:hint="default" w:ascii="Times New Roman" w:hAnsi="Times New Roman" w:cs="Times New Roman" w:eastAsiaTheme="minorEastAsia"/>
          <w:color w:val="auto"/>
          <w:sz w:val="32"/>
          <w:szCs w:val="32"/>
        </w:rPr>
        <w:t>万元；政府性基金预算本年收入</w:t>
      </w:r>
      <w:r>
        <w:rPr>
          <w:rFonts w:hint="default" w:ascii="Times New Roman" w:hAnsi="Times New Roman" w:cs="Times New Roman" w:eastAsiaTheme="minorEastAsia"/>
          <w:color w:val="auto"/>
          <w:sz w:val="32"/>
          <w:szCs w:val="32"/>
          <w:lang w:val="en-US" w:eastAsia="zh-CN"/>
        </w:rPr>
        <w:t>0</w:t>
      </w:r>
      <w:r>
        <w:rPr>
          <w:rFonts w:hint="default" w:ascii="Times New Roman" w:hAnsi="Times New Roman" w:cs="Times New Roman" w:eastAsiaTheme="minorEastAsia"/>
          <w:color w:val="auto"/>
          <w:sz w:val="32"/>
          <w:szCs w:val="32"/>
        </w:rPr>
        <w:t>万元、上年结转</w:t>
      </w:r>
      <w:r>
        <w:rPr>
          <w:rFonts w:hint="default" w:ascii="Times New Roman" w:hAnsi="Times New Roman" w:cs="Times New Roman" w:eastAsiaTheme="minorEastAsia"/>
          <w:color w:val="auto"/>
          <w:sz w:val="32"/>
          <w:szCs w:val="32"/>
          <w:lang w:val="en-US" w:eastAsia="zh-CN"/>
        </w:rPr>
        <w:t>0</w:t>
      </w:r>
      <w:r>
        <w:rPr>
          <w:rFonts w:hint="default" w:ascii="Times New Roman" w:hAnsi="Times New Roman" w:cs="Times New Roman" w:eastAsiaTheme="minorEastAsia"/>
          <w:color w:val="auto"/>
          <w:sz w:val="32"/>
          <w:szCs w:val="32"/>
        </w:rPr>
        <w:t>万元；支出总计</w:t>
      </w:r>
      <w:r>
        <w:rPr>
          <w:rFonts w:hint="default" w:ascii="Times New Roman" w:hAnsi="Times New Roman" w:cs="Times New Roman" w:eastAsiaTheme="minorEastAsia"/>
          <w:color w:val="auto"/>
          <w:sz w:val="32"/>
          <w:szCs w:val="32"/>
          <w:lang w:val="en-US" w:eastAsia="zh-CN"/>
        </w:rPr>
        <w:t>433.39</w:t>
      </w:r>
      <w:r>
        <w:rPr>
          <w:rFonts w:hint="default" w:ascii="Times New Roman" w:hAnsi="Times New Roman" w:cs="Times New Roman" w:eastAsiaTheme="minorEastAsia"/>
          <w:color w:val="auto"/>
          <w:sz w:val="32"/>
          <w:szCs w:val="32"/>
        </w:rPr>
        <w:t>万元，包括</w:t>
      </w:r>
      <w:r>
        <w:rPr>
          <w:rFonts w:hint="default" w:ascii="Times New Roman" w:hAnsi="Times New Roman" w:cs="Times New Roman" w:eastAsiaTheme="minorEastAsia"/>
          <w:color w:val="auto"/>
          <w:sz w:val="32"/>
          <w:szCs w:val="32"/>
          <w:lang w:eastAsia="zh-CN"/>
        </w:rPr>
        <w:t>社会保障和就业支出</w:t>
      </w:r>
      <w:r>
        <w:rPr>
          <w:rFonts w:hint="default" w:ascii="Times New Roman" w:hAnsi="Times New Roman" w:cs="Times New Roman" w:eastAsiaTheme="minorEastAsia"/>
          <w:color w:val="auto"/>
          <w:sz w:val="32"/>
          <w:szCs w:val="32"/>
          <w:lang w:val="en-US" w:eastAsia="zh-CN"/>
        </w:rPr>
        <w:t>8.99万元、卫生健康支出10.62万元、自然资源海洋气象等支出406.77万元</w:t>
      </w:r>
      <w:r>
        <w:rPr>
          <w:rFonts w:hint="default" w:ascii="Times New Roman" w:hAnsi="Times New Roman" w:cs="Times New Roman" w:eastAsiaTheme="minorEastAsia"/>
          <w:color w:val="auto"/>
          <w:sz w:val="32"/>
          <w:szCs w:val="32"/>
        </w:rPr>
        <w:t>、</w:t>
      </w:r>
      <w:r>
        <w:rPr>
          <w:rFonts w:hint="default" w:ascii="Times New Roman" w:hAnsi="Times New Roman" w:cs="Times New Roman" w:eastAsiaTheme="minorEastAsia"/>
          <w:color w:val="auto"/>
          <w:sz w:val="32"/>
          <w:szCs w:val="32"/>
          <w:lang w:eastAsia="zh-CN"/>
        </w:rPr>
        <w:t>住房保障支出</w:t>
      </w:r>
      <w:r>
        <w:rPr>
          <w:rFonts w:hint="default" w:ascii="Times New Roman" w:hAnsi="Times New Roman" w:cs="Times New Roman" w:eastAsiaTheme="minorEastAsia"/>
          <w:color w:val="auto"/>
          <w:sz w:val="32"/>
          <w:szCs w:val="32"/>
          <w:lang w:val="en-US" w:eastAsia="zh-CN"/>
        </w:rPr>
        <w:t>7.01万元,</w:t>
      </w:r>
      <w:r>
        <w:rPr>
          <w:rFonts w:hint="default" w:ascii="Times New Roman" w:hAnsi="Times New Roman" w:cs="Times New Roman" w:eastAsiaTheme="minorEastAsia"/>
          <w:color w:val="auto"/>
          <w:sz w:val="32"/>
          <w:szCs w:val="32"/>
        </w:rPr>
        <w:t>结转下年</w:t>
      </w:r>
      <w:r>
        <w:rPr>
          <w:rFonts w:hint="default" w:ascii="Times New Roman" w:hAnsi="Times New Roman" w:cs="Times New Roman" w:eastAsiaTheme="minorEastAsia"/>
          <w:color w:val="auto"/>
          <w:sz w:val="32"/>
          <w:szCs w:val="32"/>
          <w:lang w:val="en-US" w:eastAsia="zh-CN"/>
        </w:rPr>
        <w:t>0</w:t>
      </w:r>
      <w:r>
        <w:rPr>
          <w:rFonts w:hint="default" w:ascii="Times New Roman" w:hAnsi="Times New Roman" w:cs="Times New Roman" w:eastAsiaTheme="minorEastAsia"/>
          <w:color w:val="auto"/>
          <w:sz w:val="32"/>
          <w:szCs w:val="32"/>
        </w:rPr>
        <w:t>万元。</w:t>
      </w:r>
    </w:p>
    <w:p>
      <w:pPr>
        <w:keepNext w:val="0"/>
        <w:keepLines w:val="0"/>
        <w:pageBreakBefore w:val="0"/>
        <w:widowControl w:val="0"/>
        <w:numPr>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关于</w:t>
      </w:r>
      <w:r>
        <w:rPr>
          <w:rFonts w:hint="eastAsia" w:ascii="黑体" w:hAnsi="黑体" w:eastAsia="黑体" w:cs="黑体"/>
          <w:color w:val="auto"/>
          <w:sz w:val="32"/>
          <w:szCs w:val="32"/>
          <w:lang w:val="en-US" w:eastAsia="zh-CN"/>
        </w:rPr>
        <w:t>三亚市土地整理中心2022年一般公共预算当年拨款情况说明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（一）一般公共预算当年规模变化情况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一般公共预算当年拨款</w:t>
      </w:r>
      <w:r>
        <w:rPr>
          <w:rFonts w:hint="eastAsia" w:asciiTheme="minorEastAsia" w:hAnsiTheme="minorEastAsia" w:cstheme="minorEastAsia"/>
          <w:color w:val="auto"/>
          <w:sz w:val="32"/>
          <w:szCs w:val="32"/>
          <w:lang w:val="en-US" w:eastAsia="zh-CN"/>
        </w:rPr>
        <w:t>433.39</w:t>
      </w:r>
      <w:r>
        <w:rPr>
          <w:rFonts w:hint="eastAsia" w:asciiTheme="minorEastAsia" w:hAnsiTheme="minorEastAsia" w:eastAsiaTheme="minorEastAsia" w:cstheme="minorEastAsia"/>
          <w:color w:val="auto"/>
          <w:sz w:val="32"/>
          <w:szCs w:val="32"/>
        </w:rPr>
        <w:t>万元，比上年预算数增加</w:t>
      </w:r>
      <w:r>
        <w:rPr>
          <w:rFonts w:hint="eastAsia" w:asciiTheme="minorEastAsia" w:hAnsiTheme="minorEastAsia" w:cstheme="minorEastAsia"/>
          <w:color w:val="auto"/>
          <w:sz w:val="32"/>
          <w:szCs w:val="32"/>
          <w:lang w:val="en-US" w:eastAsia="zh-CN"/>
        </w:rPr>
        <w:t>70.27</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主要原因为中心增加</w:t>
      </w:r>
      <w:r>
        <w:rPr>
          <w:rFonts w:hint="eastAsia" w:asciiTheme="minorEastAsia" w:hAnsiTheme="minorEastAsia" w:cstheme="minorEastAsia"/>
          <w:color w:val="auto"/>
          <w:sz w:val="32"/>
          <w:szCs w:val="32"/>
          <w:lang w:val="en-US" w:eastAsia="zh-CN"/>
        </w:rPr>
        <w:t>2名在编人员及年度正常晋升</w:t>
      </w:r>
      <w:r>
        <w:rPr>
          <w:rFonts w:hint="eastAsia" w:asciiTheme="minorEastAsia" w:hAnsiTheme="minorEastAsia" w:eastAsiaTheme="minorEastAsia" w:cstheme="minorEastAsia"/>
          <w:color w:val="auto"/>
          <w:sz w:val="32"/>
          <w:szCs w:val="32"/>
          <w:lang w:eastAsia="zh-CN"/>
        </w:rPr>
        <w:t>，导致缴费增加。</w:t>
      </w:r>
    </w:p>
    <w:p>
      <w:pPr>
        <w:keepNext w:val="0"/>
        <w:keepLines w:val="0"/>
        <w:pageBreakBefore w:val="0"/>
        <w:widowControl w:val="0"/>
        <w:kinsoku/>
        <w:wordWrap/>
        <w:overflowPunct/>
        <w:topLinePunct w:val="0"/>
        <w:autoSpaceDE/>
        <w:autoSpaceDN/>
        <w:bidi w:val="0"/>
        <w:adjustRightInd/>
        <w:snapToGrid/>
        <w:spacing w:line="572" w:lineRule="exact"/>
        <w:ind w:firstLine="640"/>
        <w:jc w:val="left"/>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2" w:lineRule="exact"/>
        <w:ind w:firstLine="800" w:firstLineChars="25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lang w:eastAsia="zh-CN"/>
        </w:rPr>
        <w:t>社会保障和就业</w:t>
      </w:r>
      <w:r>
        <w:rPr>
          <w:rFonts w:hint="eastAsia" w:asciiTheme="minorEastAsia" w:hAnsiTheme="minorEastAsia" w:eastAsiaTheme="minorEastAsia" w:cstheme="minorEastAsia"/>
          <w:color w:val="auto"/>
          <w:sz w:val="32"/>
          <w:szCs w:val="32"/>
        </w:rPr>
        <w:t>支出</w:t>
      </w:r>
      <w:r>
        <w:rPr>
          <w:rFonts w:hint="eastAsia" w:asciiTheme="minorEastAsia" w:hAnsiTheme="minorEastAsia" w:cstheme="minorEastAsia"/>
          <w:color w:val="auto"/>
          <w:sz w:val="32"/>
          <w:szCs w:val="32"/>
          <w:lang w:val="en-US" w:eastAsia="zh-CN"/>
        </w:rPr>
        <w:t>8.99</w:t>
      </w:r>
      <w:r>
        <w:rPr>
          <w:rFonts w:hint="eastAsia" w:asciiTheme="minorEastAsia" w:hAnsiTheme="minorEastAsia" w:eastAsiaTheme="minorEastAsia" w:cstheme="minorEastAsia"/>
          <w:color w:val="auto"/>
          <w:sz w:val="32"/>
          <w:szCs w:val="32"/>
        </w:rPr>
        <w:t>万元，占</w:t>
      </w:r>
      <w:r>
        <w:rPr>
          <w:rFonts w:hint="eastAsia" w:asciiTheme="minorEastAsia" w:hAnsiTheme="minorEastAsia" w:cstheme="minorEastAsia"/>
          <w:color w:val="auto"/>
          <w:sz w:val="32"/>
          <w:szCs w:val="32"/>
          <w:lang w:val="en-US" w:eastAsia="zh-CN"/>
        </w:rPr>
        <w:t>2.1</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卫生健康</w:t>
      </w:r>
      <w:r>
        <w:rPr>
          <w:rFonts w:hint="eastAsia" w:asciiTheme="minorEastAsia" w:hAnsiTheme="minorEastAsia" w:eastAsiaTheme="minorEastAsia" w:cstheme="minorEastAsia"/>
          <w:color w:val="auto"/>
          <w:sz w:val="32"/>
          <w:szCs w:val="32"/>
        </w:rPr>
        <w:t>支出</w:t>
      </w:r>
      <w:r>
        <w:rPr>
          <w:rFonts w:hint="eastAsia" w:asciiTheme="minorEastAsia" w:hAnsiTheme="minorEastAsia" w:cstheme="minorEastAsia"/>
          <w:color w:val="auto"/>
          <w:sz w:val="32"/>
          <w:szCs w:val="32"/>
          <w:lang w:val="en-US" w:eastAsia="zh-CN"/>
        </w:rPr>
        <w:t>10.62</w:t>
      </w:r>
      <w:r>
        <w:rPr>
          <w:rFonts w:hint="eastAsia" w:asciiTheme="minorEastAsia" w:hAnsiTheme="minorEastAsia" w:eastAsiaTheme="minorEastAsia" w:cstheme="minorEastAsia"/>
          <w:color w:val="auto"/>
          <w:sz w:val="32"/>
          <w:szCs w:val="32"/>
        </w:rPr>
        <w:t>万元，占</w:t>
      </w:r>
      <w:r>
        <w:rPr>
          <w:rFonts w:hint="eastAsia" w:asciiTheme="minorEastAsia" w:hAnsiTheme="minorEastAsia" w:cstheme="minorEastAsia"/>
          <w:color w:val="auto"/>
          <w:sz w:val="32"/>
          <w:szCs w:val="32"/>
          <w:lang w:val="en-US" w:eastAsia="zh-CN"/>
        </w:rPr>
        <w:t>2.5</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自然资源海洋气象等</w:t>
      </w:r>
      <w:r>
        <w:rPr>
          <w:rFonts w:hint="eastAsia" w:asciiTheme="minorEastAsia" w:hAnsiTheme="minorEastAsia" w:eastAsiaTheme="minorEastAsia" w:cstheme="minorEastAsia"/>
          <w:color w:val="auto"/>
          <w:sz w:val="32"/>
          <w:szCs w:val="32"/>
        </w:rPr>
        <w:t>支出</w:t>
      </w:r>
      <w:r>
        <w:rPr>
          <w:rFonts w:hint="eastAsia" w:asciiTheme="minorEastAsia" w:hAnsiTheme="minorEastAsia" w:cstheme="minorEastAsia"/>
          <w:color w:val="auto"/>
          <w:sz w:val="32"/>
          <w:szCs w:val="32"/>
          <w:lang w:val="en-US" w:eastAsia="zh-CN"/>
        </w:rPr>
        <w:t>406.77</w:t>
      </w:r>
      <w:r>
        <w:rPr>
          <w:rFonts w:hint="eastAsia" w:asciiTheme="minorEastAsia" w:hAnsiTheme="minorEastAsia" w:eastAsiaTheme="minorEastAsia" w:cstheme="minorEastAsia"/>
          <w:color w:val="auto"/>
          <w:sz w:val="32"/>
          <w:szCs w:val="32"/>
        </w:rPr>
        <w:t>万元，占</w:t>
      </w:r>
      <w:r>
        <w:rPr>
          <w:rFonts w:hint="eastAsia" w:asciiTheme="minorEastAsia" w:hAnsiTheme="minorEastAsia" w:cstheme="minorEastAsia"/>
          <w:color w:val="auto"/>
          <w:sz w:val="32"/>
          <w:szCs w:val="32"/>
          <w:lang w:val="en-US" w:eastAsia="zh-CN"/>
        </w:rPr>
        <w:t>93.8</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住房保障</w:t>
      </w:r>
      <w:r>
        <w:rPr>
          <w:rFonts w:hint="eastAsia" w:asciiTheme="minorEastAsia" w:hAnsiTheme="minorEastAsia" w:eastAsiaTheme="minorEastAsia" w:cstheme="minorEastAsia"/>
          <w:color w:val="auto"/>
          <w:sz w:val="32"/>
          <w:szCs w:val="32"/>
        </w:rPr>
        <w:t>支出</w:t>
      </w:r>
      <w:r>
        <w:rPr>
          <w:rFonts w:hint="eastAsia" w:asciiTheme="minorEastAsia" w:hAnsiTheme="minorEastAsia" w:cstheme="minorEastAsia"/>
          <w:color w:val="auto"/>
          <w:sz w:val="32"/>
          <w:szCs w:val="32"/>
          <w:lang w:val="en-US" w:eastAsia="zh-CN"/>
        </w:rPr>
        <w:t>7.01</w:t>
      </w:r>
      <w:r>
        <w:rPr>
          <w:rFonts w:hint="eastAsia" w:asciiTheme="minorEastAsia" w:hAnsiTheme="minorEastAsia" w:eastAsiaTheme="minorEastAsia" w:cstheme="minorEastAsia"/>
          <w:color w:val="auto"/>
          <w:sz w:val="32"/>
          <w:szCs w:val="32"/>
        </w:rPr>
        <w:t>万元，占</w:t>
      </w:r>
      <w:r>
        <w:rPr>
          <w:rFonts w:hint="eastAsia" w:asciiTheme="minorEastAsia" w:hAnsiTheme="minorEastAsia" w:cstheme="minorEastAsia"/>
          <w:color w:val="auto"/>
          <w:sz w:val="32"/>
          <w:szCs w:val="32"/>
          <w:lang w:val="en-US" w:eastAsia="zh-CN"/>
        </w:rPr>
        <w:t>1.6</w:t>
      </w:r>
      <w:r>
        <w:rPr>
          <w:rFonts w:hint="eastAsia" w:asciiTheme="minorEastAsia" w:hAnsiTheme="minorEastAsia" w:eastAsiaTheme="minorEastAsia" w:cstheme="minorEastAsia"/>
          <w:color w:val="auto"/>
          <w:sz w:val="32"/>
          <w:szCs w:val="32"/>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（三）一般公共预算当年拨款具体使用情况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rPr>
        <w:t>1.社会保障和就业支出（类）行政事业单位养老支出（款）机关事业单位基本养老保险缴费支出（项）</w:t>
      </w: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rPr>
        <w:t>年预算数为</w:t>
      </w:r>
      <w:r>
        <w:rPr>
          <w:rFonts w:hint="eastAsia" w:asciiTheme="minorEastAsia" w:hAnsiTheme="minorEastAsia" w:cstheme="minorEastAsia"/>
          <w:color w:val="auto"/>
          <w:sz w:val="32"/>
          <w:szCs w:val="32"/>
          <w:lang w:val="en-US" w:eastAsia="zh-CN"/>
        </w:rPr>
        <w:t>8.99</w:t>
      </w:r>
      <w:r>
        <w:rPr>
          <w:rFonts w:hint="eastAsia" w:asciiTheme="minorEastAsia" w:hAnsiTheme="minorEastAsia" w:eastAsiaTheme="minorEastAsia" w:cstheme="minorEastAsia"/>
          <w:color w:val="auto"/>
          <w:sz w:val="32"/>
          <w:szCs w:val="32"/>
        </w:rPr>
        <w:t>万元，比上年预算数增加</w:t>
      </w:r>
      <w:r>
        <w:rPr>
          <w:rFonts w:hint="eastAsia" w:asciiTheme="minorEastAsia" w:hAnsiTheme="minorEastAsia" w:cstheme="minorEastAsia"/>
          <w:color w:val="auto"/>
          <w:sz w:val="32"/>
          <w:szCs w:val="32"/>
          <w:lang w:val="en-US" w:eastAsia="zh-CN"/>
        </w:rPr>
        <w:t>2.52</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主要原因为中心增加</w:t>
      </w:r>
      <w:r>
        <w:rPr>
          <w:rFonts w:hint="eastAsia" w:asciiTheme="minorEastAsia" w:hAnsiTheme="minorEastAsia" w:cstheme="minorEastAsia"/>
          <w:color w:val="auto"/>
          <w:sz w:val="32"/>
          <w:szCs w:val="32"/>
          <w:lang w:val="en-US" w:eastAsia="zh-CN"/>
        </w:rPr>
        <w:t>2名在编人员及年度正常晋升</w:t>
      </w:r>
      <w:r>
        <w:rPr>
          <w:rFonts w:hint="eastAsia" w:asciiTheme="minorEastAsia" w:hAnsiTheme="minorEastAsia" w:eastAsiaTheme="minorEastAsia" w:cstheme="minorEastAsia"/>
          <w:color w:val="auto"/>
          <w:sz w:val="32"/>
          <w:szCs w:val="32"/>
          <w:lang w:eastAsia="zh-CN"/>
        </w:rPr>
        <w:t>，导致缴费增加。</w:t>
      </w:r>
      <w:r>
        <w:rPr>
          <w:rFonts w:hint="eastAsia" w:asciiTheme="minorEastAsia" w:hAnsiTheme="minorEastAsia" w:cstheme="minorEastAsia"/>
          <w:color w:val="auto"/>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FF0000"/>
          <w:sz w:val="32"/>
          <w:szCs w:val="32"/>
        </w:rPr>
      </w:pPr>
      <w:r>
        <w:rPr>
          <w:rFonts w:hint="eastAsia" w:asciiTheme="minorEastAsia" w:hAnsiTheme="minorEastAsia" w:eastAsiaTheme="minorEastAsia" w:cstheme="minorEastAsia"/>
          <w:color w:val="auto"/>
          <w:sz w:val="32"/>
          <w:szCs w:val="32"/>
        </w:rPr>
        <w:t>2. 卫生健康支出（类）行政事业单位医疗（款）事业单位医疗（项）</w:t>
      </w: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rPr>
        <w:t>年预算数为</w:t>
      </w:r>
      <w:r>
        <w:rPr>
          <w:rFonts w:hint="eastAsia" w:asciiTheme="minorEastAsia" w:hAnsiTheme="minorEastAsia" w:cstheme="minorEastAsia"/>
          <w:color w:val="auto"/>
          <w:sz w:val="32"/>
          <w:szCs w:val="32"/>
          <w:lang w:val="en-US" w:eastAsia="zh-CN"/>
        </w:rPr>
        <w:t>4.78</w:t>
      </w:r>
      <w:r>
        <w:rPr>
          <w:rFonts w:hint="eastAsia" w:asciiTheme="minorEastAsia" w:hAnsiTheme="minorEastAsia" w:eastAsiaTheme="minorEastAsia" w:cstheme="minorEastAsia"/>
          <w:color w:val="auto"/>
          <w:sz w:val="32"/>
          <w:szCs w:val="32"/>
        </w:rPr>
        <w:t>万元，比上年预算数增加</w:t>
      </w:r>
      <w:r>
        <w:rPr>
          <w:rFonts w:hint="eastAsia" w:asciiTheme="minorEastAsia" w:hAnsiTheme="minorEastAsia" w:cstheme="minorEastAsia"/>
          <w:color w:val="auto"/>
          <w:sz w:val="32"/>
          <w:szCs w:val="32"/>
          <w:lang w:val="en-US" w:eastAsia="zh-CN"/>
        </w:rPr>
        <w:t>1.34</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主要原因为中心增加</w:t>
      </w:r>
      <w:r>
        <w:rPr>
          <w:rFonts w:hint="eastAsia" w:asciiTheme="minorEastAsia" w:hAnsiTheme="minorEastAsia" w:cstheme="minorEastAsia"/>
          <w:color w:val="auto"/>
          <w:sz w:val="32"/>
          <w:szCs w:val="32"/>
          <w:lang w:val="en-US" w:eastAsia="zh-CN"/>
        </w:rPr>
        <w:t>2名在编人员及年度正常晋升</w:t>
      </w:r>
      <w:r>
        <w:rPr>
          <w:rFonts w:hint="eastAsia" w:asciiTheme="minorEastAsia" w:hAnsiTheme="minorEastAsia" w:eastAsiaTheme="minorEastAsia" w:cstheme="minorEastAsia"/>
          <w:color w:val="auto"/>
          <w:sz w:val="32"/>
          <w:szCs w:val="32"/>
          <w:lang w:eastAsia="zh-CN"/>
        </w:rPr>
        <w:t>，导致缴费增加。</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3</w:t>
      </w:r>
      <w:r>
        <w:rPr>
          <w:rFonts w:hint="eastAsia" w:asciiTheme="minorEastAsia" w:hAnsiTheme="minorEastAsia" w:eastAsiaTheme="minorEastAsia" w:cstheme="minorEastAsia"/>
          <w:color w:val="auto"/>
          <w:sz w:val="32"/>
          <w:szCs w:val="32"/>
        </w:rPr>
        <w:t>. 卫生健康支出（类）行政事业单位医疗（款）公务员医疗补助（项）</w:t>
      </w: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rPr>
        <w:t>年预算数为</w:t>
      </w:r>
      <w:r>
        <w:rPr>
          <w:rFonts w:hint="eastAsia" w:asciiTheme="minorEastAsia" w:hAnsiTheme="minorEastAsia" w:cstheme="minorEastAsia"/>
          <w:color w:val="auto"/>
          <w:sz w:val="32"/>
          <w:szCs w:val="32"/>
          <w:lang w:val="en-US" w:eastAsia="zh-CN"/>
        </w:rPr>
        <w:t>5.84</w:t>
      </w:r>
      <w:r>
        <w:rPr>
          <w:rFonts w:hint="eastAsia" w:asciiTheme="minorEastAsia" w:hAnsiTheme="minorEastAsia" w:eastAsiaTheme="minorEastAsia" w:cstheme="minorEastAsia"/>
          <w:color w:val="auto"/>
          <w:sz w:val="32"/>
          <w:szCs w:val="32"/>
        </w:rPr>
        <w:t>万元，比上年预算数增加</w:t>
      </w:r>
      <w:r>
        <w:rPr>
          <w:rFonts w:hint="eastAsia" w:asciiTheme="minorEastAsia" w:hAnsiTheme="minorEastAsia" w:cstheme="minorEastAsia"/>
          <w:color w:val="auto"/>
          <w:sz w:val="32"/>
          <w:szCs w:val="32"/>
          <w:lang w:val="en-US" w:eastAsia="zh-CN"/>
        </w:rPr>
        <w:t>1.55</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主要原因为中心增加</w:t>
      </w:r>
      <w:r>
        <w:rPr>
          <w:rFonts w:hint="eastAsia" w:asciiTheme="minorEastAsia" w:hAnsiTheme="minorEastAsia" w:cstheme="minorEastAsia"/>
          <w:color w:val="auto"/>
          <w:sz w:val="32"/>
          <w:szCs w:val="32"/>
          <w:lang w:val="en-US" w:eastAsia="zh-CN"/>
        </w:rPr>
        <w:t>2名在编人员及年度正常晋升</w:t>
      </w:r>
      <w:r>
        <w:rPr>
          <w:rFonts w:hint="eastAsia" w:asciiTheme="minorEastAsia" w:hAnsiTheme="minorEastAsia" w:eastAsiaTheme="minorEastAsia" w:cstheme="minorEastAsia"/>
          <w:color w:val="auto"/>
          <w:sz w:val="32"/>
          <w:szCs w:val="32"/>
          <w:lang w:eastAsia="zh-CN"/>
        </w:rPr>
        <w:t>，导致缴费增加。</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4</w:t>
      </w:r>
      <w:r>
        <w:rPr>
          <w:rFonts w:hint="eastAsia" w:asciiTheme="minorEastAsia" w:hAnsiTheme="minorEastAsia" w:eastAsiaTheme="minorEastAsia" w:cstheme="minorEastAsia"/>
          <w:color w:val="auto"/>
          <w:sz w:val="32"/>
          <w:szCs w:val="32"/>
        </w:rPr>
        <w:t>. 自然资源海洋气象等支出（类）自然资源事务（款）土地资源储备支出（项）</w:t>
      </w: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rPr>
        <w:t>年预算数为</w:t>
      </w:r>
      <w:r>
        <w:rPr>
          <w:rFonts w:hint="eastAsia" w:asciiTheme="minorEastAsia" w:hAnsiTheme="minorEastAsia" w:eastAsiaTheme="minorEastAsia" w:cstheme="minorEastAsia"/>
          <w:color w:val="auto"/>
          <w:sz w:val="32"/>
          <w:szCs w:val="32"/>
          <w:lang w:val="en-US" w:eastAsia="zh-CN"/>
        </w:rPr>
        <w:t>260</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，与</w:t>
      </w:r>
      <w:r>
        <w:rPr>
          <w:rFonts w:hint="eastAsia" w:asciiTheme="minorEastAsia" w:hAnsiTheme="minorEastAsia" w:eastAsiaTheme="minorEastAsia" w:cstheme="minorEastAsia"/>
          <w:color w:val="auto"/>
          <w:sz w:val="32"/>
          <w:szCs w:val="32"/>
        </w:rPr>
        <w:t>上年预算数</w:t>
      </w:r>
      <w:r>
        <w:rPr>
          <w:rFonts w:hint="eastAsia" w:asciiTheme="minorEastAsia" w:hAnsiTheme="minorEastAsia" w:cstheme="minorEastAsia"/>
          <w:color w:val="auto"/>
          <w:sz w:val="32"/>
          <w:szCs w:val="32"/>
          <w:lang w:eastAsia="zh-CN"/>
        </w:rPr>
        <w:t>持平</w:t>
      </w:r>
      <w:r>
        <w:rPr>
          <w:rFonts w:hint="eastAsia" w:asciiTheme="minorEastAsia" w:hAnsiTheme="minorEastAsia" w:eastAsiaTheme="minorEastAsia" w:cstheme="minorEastAsia"/>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rPr>
        <w:t>. 自然资源海洋气象等支出（类）自然资源事务（款）事业运行（项）</w:t>
      </w: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rPr>
        <w:t>年预算数为</w:t>
      </w:r>
      <w:r>
        <w:rPr>
          <w:rFonts w:hint="eastAsia" w:asciiTheme="minorEastAsia" w:hAnsiTheme="minorEastAsia" w:cstheme="minorEastAsia"/>
          <w:color w:val="auto"/>
          <w:sz w:val="32"/>
          <w:szCs w:val="32"/>
          <w:lang w:val="en-US" w:eastAsia="zh-CN"/>
        </w:rPr>
        <w:t>138.77</w:t>
      </w:r>
      <w:r>
        <w:rPr>
          <w:rFonts w:hint="eastAsia" w:asciiTheme="minorEastAsia" w:hAnsiTheme="minorEastAsia" w:eastAsiaTheme="minorEastAsia" w:cstheme="minorEastAsia"/>
          <w:color w:val="auto"/>
          <w:sz w:val="32"/>
          <w:szCs w:val="32"/>
        </w:rPr>
        <w:t>万元，比上年预算数增加</w:t>
      </w:r>
      <w:r>
        <w:rPr>
          <w:rFonts w:hint="eastAsia" w:asciiTheme="minorEastAsia" w:hAnsiTheme="minorEastAsia" w:cstheme="minorEastAsia"/>
          <w:color w:val="auto"/>
          <w:sz w:val="32"/>
          <w:szCs w:val="32"/>
          <w:lang w:val="en-US" w:eastAsia="zh-CN"/>
        </w:rPr>
        <w:t>62.99</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主要原因为中心增加</w:t>
      </w:r>
      <w:r>
        <w:rPr>
          <w:rFonts w:hint="eastAsia" w:asciiTheme="minorEastAsia" w:hAnsiTheme="minorEastAsia" w:cstheme="minorEastAsia"/>
          <w:color w:val="auto"/>
          <w:sz w:val="32"/>
          <w:szCs w:val="32"/>
          <w:lang w:val="en-US" w:eastAsia="zh-CN"/>
        </w:rPr>
        <w:t>2名在编人员及年度正常晋升</w:t>
      </w:r>
      <w:r>
        <w:rPr>
          <w:rFonts w:hint="eastAsia" w:asciiTheme="minorEastAsia" w:hAnsiTheme="minorEastAsia" w:eastAsiaTheme="minorEastAsia" w:cstheme="minorEastAsia"/>
          <w:color w:val="auto"/>
          <w:sz w:val="32"/>
          <w:szCs w:val="32"/>
          <w:lang w:eastAsia="zh-CN"/>
        </w:rPr>
        <w:t>，导致缴费增加。</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6</w:t>
      </w:r>
      <w:r>
        <w:rPr>
          <w:rFonts w:hint="eastAsia" w:asciiTheme="minorEastAsia" w:hAnsiTheme="minorEastAsia" w:eastAsiaTheme="minorEastAsia" w:cstheme="minorEastAsia"/>
          <w:color w:val="auto"/>
          <w:sz w:val="32"/>
          <w:szCs w:val="32"/>
        </w:rPr>
        <w:t>. 自然资源海洋气象等支出（类）自然资源事务（款）其他自然资源事务支出（项）</w:t>
      </w: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rPr>
        <w:t>年预算数为</w:t>
      </w:r>
      <w:r>
        <w:rPr>
          <w:rFonts w:hint="eastAsia" w:asciiTheme="minorEastAsia" w:hAnsiTheme="minorEastAsia" w:eastAsiaTheme="minorEastAsia" w:cstheme="minorEastAsia"/>
          <w:color w:val="auto"/>
          <w:sz w:val="32"/>
          <w:szCs w:val="32"/>
          <w:lang w:val="en-US" w:eastAsia="zh-CN"/>
        </w:rPr>
        <w:t>8</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与</w:t>
      </w:r>
      <w:r>
        <w:rPr>
          <w:rFonts w:hint="eastAsia" w:asciiTheme="minorEastAsia" w:hAnsiTheme="minorEastAsia" w:eastAsiaTheme="minorEastAsia" w:cstheme="minorEastAsia"/>
          <w:color w:val="auto"/>
          <w:sz w:val="32"/>
          <w:szCs w:val="32"/>
        </w:rPr>
        <w:t>上年预算数</w:t>
      </w:r>
      <w:r>
        <w:rPr>
          <w:rFonts w:hint="eastAsia" w:asciiTheme="minorEastAsia" w:hAnsiTheme="minorEastAsia" w:cstheme="minorEastAsia"/>
          <w:color w:val="auto"/>
          <w:sz w:val="32"/>
          <w:szCs w:val="32"/>
          <w:lang w:eastAsia="zh-CN"/>
        </w:rPr>
        <w:t>持平</w:t>
      </w:r>
      <w:r>
        <w:rPr>
          <w:rFonts w:hint="eastAsia" w:asciiTheme="minorEastAsia" w:hAnsiTheme="minorEastAsia" w:eastAsiaTheme="minorEastAsia" w:cstheme="minorEastAsia"/>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lang w:val="en-US" w:eastAsia="zh-CN"/>
        </w:rPr>
        <w:t>7</w:t>
      </w:r>
      <w:r>
        <w:rPr>
          <w:rFonts w:hint="eastAsia" w:asciiTheme="minorEastAsia" w:hAnsiTheme="minorEastAsia" w:eastAsiaTheme="minorEastAsia" w:cstheme="minorEastAsia"/>
          <w:color w:val="auto"/>
          <w:sz w:val="32"/>
          <w:szCs w:val="32"/>
        </w:rPr>
        <w:t>. 住房保障支出（类）住房改革支出（款）住房公积金（项）</w:t>
      </w: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rPr>
        <w:t>年预算数为</w:t>
      </w:r>
      <w:r>
        <w:rPr>
          <w:rFonts w:hint="eastAsia" w:asciiTheme="minorEastAsia" w:hAnsiTheme="minorEastAsia" w:cstheme="minorEastAsia"/>
          <w:color w:val="auto"/>
          <w:sz w:val="32"/>
          <w:szCs w:val="32"/>
          <w:lang w:val="en-US" w:eastAsia="zh-CN"/>
        </w:rPr>
        <w:t>7.01</w:t>
      </w:r>
      <w:r>
        <w:rPr>
          <w:rFonts w:hint="eastAsia" w:asciiTheme="minorEastAsia" w:hAnsiTheme="minorEastAsia" w:eastAsiaTheme="minorEastAsia" w:cstheme="minorEastAsia"/>
          <w:color w:val="auto"/>
          <w:sz w:val="32"/>
          <w:szCs w:val="32"/>
        </w:rPr>
        <w:t>万元，比上年预算数增加</w:t>
      </w:r>
      <w:r>
        <w:rPr>
          <w:rFonts w:hint="eastAsia" w:asciiTheme="minorEastAsia" w:hAnsiTheme="minorEastAsia" w:cstheme="minorEastAsia"/>
          <w:color w:val="auto"/>
          <w:sz w:val="32"/>
          <w:szCs w:val="32"/>
          <w:lang w:val="en-US" w:eastAsia="zh-CN"/>
        </w:rPr>
        <w:t>1.86</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主要原因为中心增加</w:t>
      </w:r>
      <w:r>
        <w:rPr>
          <w:rFonts w:hint="eastAsia" w:asciiTheme="minorEastAsia" w:hAnsiTheme="minorEastAsia" w:cstheme="minorEastAsia"/>
          <w:color w:val="auto"/>
          <w:sz w:val="32"/>
          <w:szCs w:val="32"/>
          <w:lang w:val="en-US" w:eastAsia="zh-CN"/>
        </w:rPr>
        <w:t>2名在编人员及年度正常晋升</w:t>
      </w:r>
      <w:r>
        <w:rPr>
          <w:rFonts w:hint="eastAsia" w:asciiTheme="minorEastAsia" w:hAnsiTheme="minorEastAsia" w:eastAsiaTheme="minorEastAsia" w:cstheme="minorEastAsia"/>
          <w:color w:val="auto"/>
          <w:sz w:val="32"/>
          <w:szCs w:val="32"/>
          <w:lang w:eastAsia="zh-CN"/>
        </w:rPr>
        <w:t>，导致缴费增加。</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eastAsia="zh-CN"/>
        </w:rPr>
      </w:pPr>
      <w:r>
        <w:rPr>
          <w:rFonts w:hint="eastAsia" w:asciiTheme="minorEastAsia" w:hAnsiTheme="minorEastAsia" w:eastAsiaTheme="minorEastAsia" w:cstheme="minorEastAsia"/>
          <w:color w:val="auto"/>
          <w:sz w:val="32"/>
          <w:szCs w:val="32"/>
          <w:lang w:eastAsia="zh-CN"/>
        </w:rPr>
        <w:t>三、</w:t>
      </w:r>
      <w:r>
        <w:rPr>
          <w:rFonts w:hint="eastAsia" w:ascii="黑体" w:hAnsi="黑体" w:eastAsia="黑体" w:cs="黑体"/>
          <w:color w:val="auto"/>
          <w:sz w:val="32"/>
          <w:szCs w:val="32"/>
        </w:rPr>
        <w:t>关于</w:t>
      </w:r>
      <w:r>
        <w:rPr>
          <w:rFonts w:hint="eastAsia" w:ascii="黑体" w:hAnsi="黑体" w:eastAsia="黑体" w:cs="黑体"/>
          <w:color w:val="auto"/>
          <w:sz w:val="32"/>
          <w:szCs w:val="32"/>
          <w:lang w:val="en-US" w:eastAsia="zh-CN"/>
        </w:rPr>
        <w:t>三亚市土地整理中心2022年一般公共预算基本支出情况说明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一般公共预算基本支出为</w:t>
      </w:r>
      <w:r>
        <w:rPr>
          <w:rFonts w:hint="eastAsia" w:asciiTheme="minorEastAsia" w:hAnsiTheme="minorEastAsia" w:cstheme="minorEastAsia"/>
          <w:color w:val="auto"/>
          <w:sz w:val="32"/>
          <w:szCs w:val="32"/>
          <w:lang w:val="en-US" w:eastAsia="zh-CN"/>
        </w:rPr>
        <w:t>165.39</w:t>
      </w:r>
      <w:r>
        <w:rPr>
          <w:rFonts w:hint="eastAsia" w:asciiTheme="minorEastAsia" w:hAnsiTheme="minorEastAsia" w:eastAsiaTheme="minorEastAsia" w:cstheme="minorEastAsia"/>
          <w:color w:val="auto"/>
          <w:sz w:val="32"/>
          <w:szCs w:val="32"/>
        </w:rPr>
        <w:t>万元，其中：</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人员经费</w:t>
      </w:r>
      <w:r>
        <w:rPr>
          <w:rFonts w:hint="eastAsia" w:asciiTheme="minorEastAsia" w:hAnsiTheme="minorEastAsia" w:cstheme="minorEastAsia"/>
          <w:color w:val="auto"/>
          <w:sz w:val="32"/>
          <w:szCs w:val="32"/>
          <w:lang w:val="en-US" w:eastAsia="zh-CN"/>
        </w:rPr>
        <w:t>155.77</w:t>
      </w:r>
      <w:r>
        <w:rPr>
          <w:rFonts w:hint="eastAsia" w:asciiTheme="minorEastAsia" w:hAnsiTheme="minorEastAsia" w:eastAsiaTheme="minorEastAsia" w:cstheme="minorEastAsia"/>
          <w:color w:val="auto"/>
          <w:sz w:val="32"/>
          <w:szCs w:val="32"/>
        </w:rPr>
        <w:t>万元，主要包括：基本工资、津贴补贴、</w:t>
      </w:r>
      <w:r>
        <w:rPr>
          <w:rFonts w:hint="eastAsia" w:asciiTheme="minorEastAsia" w:hAnsiTheme="minorEastAsia" w:eastAsiaTheme="minorEastAsia" w:cstheme="minorEastAsia"/>
          <w:color w:val="auto"/>
          <w:sz w:val="32"/>
          <w:szCs w:val="32"/>
          <w:lang w:eastAsia="zh-CN"/>
        </w:rPr>
        <w:t>绩效工资、机关事业单位基本养老保险缴费、职工基本医疗保险费、公务员医疗补助缴费、其他社会保障缴费、住房公积金</w:t>
      </w:r>
      <w:r>
        <w:rPr>
          <w:rFonts w:hint="eastAsia" w:asciiTheme="minorEastAsia" w:hAnsiTheme="minorEastAsia" w:cstheme="minorEastAsia"/>
          <w:color w:val="auto"/>
          <w:sz w:val="32"/>
          <w:szCs w:val="32"/>
          <w:lang w:eastAsia="zh-CN"/>
        </w:rPr>
        <w:t>、医疗费</w:t>
      </w:r>
      <w:r>
        <w:rPr>
          <w:rFonts w:hint="eastAsia" w:asciiTheme="minorEastAsia" w:hAnsiTheme="minorEastAsia" w:eastAsiaTheme="minorEastAsia" w:cstheme="minorEastAsia"/>
          <w:color w:val="auto"/>
          <w:sz w:val="32"/>
          <w:szCs w:val="32"/>
          <w:lang w:eastAsia="zh-CN"/>
        </w:rPr>
        <w:t>、其他工资福利支出、邮电费。</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公用经费</w:t>
      </w:r>
      <w:r>
        <w:rPr>
          <w:rFonts w:hint="eastAsia" w:asciiTheme="minorEastAsia" w:hAnsiTheme="minorEastAsia" w:cstheme="minorEastAsia"/>
          <w:color w:val="auto"/>
          <w:sz w:val="32"/>
          <w:szCs w:val="32"/>
          <w:lang w:val="en-US" w:eastAsia="zh-CN"/>
        </w:rPr>
        <w:t>9.61</w:t>
      </w:r>
      <w:r>
        <w:rPr>
          <w:rFonts w:hint="eastAsia" w:asciiTheme="minorEastAsia" w:hAnsiTheme="minorEastAsia" w:eastAsiaTheme="minorEastAsia" w:cstheme="minorEastAsia"/>
          <w:color w:val="auto"/>
          <w:sz w:val="32"/>
          <w:szCs w:val="32"/>
        </w:rPr>
        <w:t>万元，主要包括：办公费、</w:t>
      </w:r>
      <w:r>
        <w:rPr>
          <w:rFonts w:hint="eastAsia" w:asciiTheme="minorEastAsia" w:hAnsiTheme="minorEastAsia" w:eastAsiaTheme="minorEastAsia" w:cstheme="minorEastAsia"/>
          <w:color w:val="auto"/>
          <w:sz w:val="32"/>
          <w:szCs w:val="32"/>
          <w:lang w:eastAsia="zh-CN"/>
        </w:rPr>
        <w:t>其他社会保障缴费、培训费、工会经费、福利费、公务用车运行维护费、其他商品和服务支出。</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leftChars="200"/>
        <w:textAlignment w:val="auto"/>
        <w:rPr>
          <w:rFonts w:hint="eastAsia" w:ascii="黑体" w:hAnsi="黑体" w:eastAsia="黑体" w:cs="黑体"/>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四、</w:t>
      </w:r>
      <w:r>
        <w:rPr>
          <w:rFonts w:hint="eastAsia" w:ascii="黑体" w:hAnsi="黑体" w:eastAsia="黑体" w:cs="黑体"/>
          <w:color w:val="auto"/>
          <w:sz w:val="32"/>
          <w:szCs w:val="32"/>
          <w:lang w:val="en-US" w:eastAsia="zh-CN"/>
        </w:rPr>
        <w:t>三亚市土地整理中心2022年“三公”经费预算情况说明</w:t>
      </w:r>
    </w:p>
    <w:p>
      <w:pPr>
        <w:keepNext w:val="0"/>
        <w:keepLines w:val="0"/>
        <w:pageBreakBefore w:val="0"/>
        <w:widowControl w:val="0"/>
        <w:numPr>
          <w:ilvl w:val="0"/>
          <w:numId w:val="7"/>
        </w:numPr>
        <w:kinsoku/>
        <w:wordWrap/>
        <w:overflowPunct/>
        <w:topLinePunct w:val="0"/>
        <w:autoSpaceDE/>
        <w:autoSpaceDN/>
        <w:bidi w:val="0"/>
        <w:adjustRightInd/>
        <w:snapToGrid/>
        <w:spacing w:line="572" w:lineRule="exact"/>
        <w:ind w:left="-10" w:leftChars="0" w:firstLine="640" w:firstLineChars="0"/>
        <w:textAlignment w:val="auto"/>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一般公共预算“三公”经费预算数为</w:t>
      </w:r>
      <w:r>
        <w:rPr>
          <w:rFonts w:hint="eastAsia" w:asciiTheme="minorEastAsia" w:hAnsiTheme="minorEastAsia" w:eastAsiaTheme="minorEastAsia" w:cstheme="minorEastAsia"/>
          <w:color w:val="auto"/>
          <w:sz w:val="32"/>
          <w:szCs w:val="32"/>
          <w:lang w:val="en-US" w:eastAsia="zh-CN"/>
        </w:rPr>
        <w:t>1.65</w:t>
      </w:r>
      <w:r>
        <w:rPr>
          <w:rFonts w:hint="eastAsia" w:asciiTheme="minorEastAsia" w:hAnsiTheme="minorEastAsia" w:eastAsiaTheme="minorEastAsia" w:cstheme="minorEastAsia"/>
          <w:color w:val="auto"/>
          <w:sz w:val="32"/>
          <w:szCs w:val="32"/>
        </w:rPr>
        <w:t>万元，其中：</w:t>
      </w:r>
      <w:r>
        <w:rPr>
          <w:rFonts w:hint="eastAsia" w:asciiTheme="minorEastAsia" w:hAnsiTheme="minorEastAsia" w:eastAsiaTheme="minorEastAsia" w:cstheme="minorEastAsia"/>
          <w:color w:val="auto"/>
          <w:sz w:val="32"/>
          <w:szCs w:val="32"/>
          <w:shd w:val="clear" w:color="auto" w:fill="FFFFFF"/>
        </w:rPr>
        <w:t>因公出国（境）经费</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w:t>
      </w:r>
      <w:r>
        <w:rPr>
          <w:rFonts w:hint="eastAsia" w:asciiTheme="minorEastAsia" w:hAnsiTheme="minorEastAsia" w:eastAsiaTheme="minorEastAsia" w:cstheme="minorEastAsia"/>
          <w:color w:val="auto"/>
          <w:sz w:val="32"/>
          <w:szCs w:val="32"/>
          <w:shd w:val="clear" w:color="auto" w:fill="FFFFFF"/>
        </w:rPr>
        <w:t>，与上年预算持平</w:t>
      </w:r>
      <w:r>
        <w:rPr>
          <w:rFonts w:hint="eastAsia" w:asciiTheme="minorEastAsia" w:hAnsiTheme="minorEastAsia" w:cstheme="minorEastAsia"/>
          <w:color w:val="auto"/>
          <w:sz w:val="32"/>
          <w:szCs w:val="32"/>
          <w:shd w:val="clear" w:color="auto" w:fill="FFFFFF"/>
          <w:lang w:eastAsia="zh-CN"/>
        </w:rPr>
        <w:t>；</w:t>
      </w:r>
      <w:r>
        <w:rPr>
          <w:rFonts w:hint="eastAsia" w:asciiTheme="minorEastAsia" w:hAnsiTheme="minorEastAsia" w:cstheme="minorEastAsia"/>
          <w:color w:val="auto"/>
          <w:sz w:val="32"/>
          <w:szCs w:val="32"/>
          <w:shd w:val="clear" w:color="auto" w:fill="FFFFFF"/>
          <w:lang w:val="en-US" w:eastAsia="zh-CN"/>
        </w:rPr>
        <w:t>2022年无出国计划</w:t>
      </w:r>
      <w:r>
        <w:rPr>
          <w:rFonts w:hint="eastAsia" w:asciiTheme="minorEastAsia" w:hAnsiTheme="minorEastAsia" w:eastAsiaTheme="minorEastAsia" w:cstheme="minorEastAsia"/>
          <w:color w:val="auto"/>
          <w:sz w:val="32"/>
          <w:szCs w:val="32"/>
          <w:shd w:val="clear" w:color="auto" w:fill="FFFFFF"/>
          <w:lang w:eastAsia="zh-CN"/>
        </w:rPr>
        <w:t>；</w:t>
      </w:r>
      <w:r>
        <w:rPr>
          <w:rFonts w:hint="eastAsia" w:asciiTheme="minorEastAsia" w:hAnsiTheme="minorEastAsia" w:eastAsiaTheme="minorEastAsia" w:cstheme="minorEastAsia"/>
          <w:color w:val="auto"/>
          <w:sz w:val="32"/>
          <w:szCs w:val="32"/>
          <w:shd w:val="clear" w:color="auto" w:fill="FFFFFF"/>
        </w:rPr>
        <w:t>公务用车购置及运行费</w:t>
      </w:r>
      <w:r>
        <w:rPr>
          <w:rFonts w:hint="eastAsia" w:asciiTheme="minorEastAsia" w:hAnsiTheme="minorEastAsia" w:eastAsiaTheme="minorEastAsia" w:cstheme="minorEastAsia"/>
          <w:color w:val="auto"/>
          <w:sz w:val="32"/>
          <w:szCs w:val="32"/>
          <w:shd w:val="clear" w:color="auto" w:fill="FFFFFF"/>
          <w:lang w:val="en-US" w:eastAsia="zh-CN"/>
        </w:rPr>
        <w:t>1.65</w:t>
      </w:r>
      <w:r>
        <w:rPr>
          <w:rFonts w:hint="eastAsia" w:asciiTheme="minorEastAsia" w:hAnsiTheme="minorEastAsia" w:eastAsiaTheme="minorEastAsia" w:cstheme="minorEastAsia"/>
          <w:color w:val="auto"/>
          <w:sz w:val="32"/>
          <w:szCs w:val="32"/>
        </w:rPr>
        <w:t>万元（其中</w:t>
      </w:r>
      <w:r>
        <w:rPr>
          <w:rFonts w:hint="eastAsia" w:asciiTheme="minorEastAsia" w:hAnsiTheme="minorEastAsia" w:eastAsiaTheme="minorEastAsia" w:cstheme="minorEastAsia"/>
          <w:color w:val="auto"/>
          <w:sz w:val="32"/>
          <w:szCs w:val="32"/>
          <w:shd w:val="clear" w:color="auto" w:fill="FFFFFF"/>
        </w:rPr>
        <w:t>公务用车运行费</w:t>
      </w:r>
      <w:r>
        <w:rPr>
          <w:rFonts w:hint="eastAsia" w:asciiTheme="minorEastAsia" w:hAnsiTheme="minorEastAsia" w:eastAsiaTheme="minorEastAsia" w:cstheme="minorEastAsia"/>
          <w:color w:val="auto"/>
          <w:sz w:val="32"/>
          <w:szCs w:val="32"/>
          <w:lang w:val="en-US" w:eastAsia="zh-CN"/>
        </w:rPr>
        <w:t>1.65</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，公车购置费</w:t>
      </w:r>
      <w:r>
        <w:rPr>
          <w:rFonts w:hint="eastAsia" w:asciiTheme="minorEastAsia" w:hAnsiTheme="minorEastAsia" w:cstheme="minorEastAsia"/>
          <w:color w:val="auto"/>
          <w:sz w:val="32"/>
          <w:szCs w:val="32"/>
          <w:lang w:val="en-US" w:eastAsia="zh-CN"/>
        </w:rPr>
        <w:t>0万元</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shd w:val="clear" w:color="auto" w:fill="FFFFFF"/>
        </w:rPr>
        <w:t>，与上年预算持平。公务车保有量</w:t>
      </w:r>
      <w:r>
        <w:rPr>
          <w:rFonts w:hint="eastAsia" w:asciiTheme="minorEastAsia" w:hAnsiTheme="minorEastAsia" w:eastAsiaTheme="minorEastAsia" w:cstheme="minorEastAsia"/>
          <w:color w:val="auto"/>
          <w:sz w:val="32"/>
          <w:szCs w:val="32"/>
          <w:lang w:val="en-US" w:eastAsia="zh-CN"/>
        </w:rPr>
        <w:t>1</w:t>
      </w:r>
      <w:r>
        <w:rPr>
          <w:rFonts w:hint="eastAsia" w:asciiTheme="minorEastAsia" w:hAnsiTheme="minorEastAsia" w:eastAsiaTheme="minorEastAsia" w:cstheme="minorEastAsia"/>
          <w:color w:val="auto"/>
          <w:sz w:val="32"/>
          <w:szCs w:val="32"/>
        </w:rPr>
        <w:t>辆，计划购置</w:t>
      </w:r>
      <w:r>
        <w:rPr>
          <w:rFonts w:hint="eastAsia" w:asciiTheme="minorEastAsia" w:hAnsi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辆</w:t>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rPr>
        <w:t>公务接待费</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shd w:val="clear" w:color="auto" w:fill="FFFFFF"/>
        </w:rPr>
        <w:t>万元，与上年预算持平</w:t>
      </w:r>
      <w:r>
        <w:rPr>
          <w:rFonts w:hint="eastAsia" w:asciiTheme="minorEastAsia" w:hAnsiTheme="minorEastAsia" w:cstheme="minorEastAsia"/>
          <w:color w:val="auto"/>
          <w:sz w:val="32"/>
          <w:szCs w:val="32"/>
          <w:shd w:val="clear" w:color="auto" w:fill="FFFFFF"/>
          <w:lang w:eastAsia="zh-CN"/>
        </w:rPr>
        <w:t>，计划接待</w:t>
      </w:r>
      <w:r>
        <w:rPr>
          <w:rFonts w:hint="eastAsia" w:asciiTheme="minorEastAsia" w:hAnsiTheme="minorEastAsia" w:cstheme="minorEastAsia"/>
          <w:color w:val="auto"/>
          <w:sz w:val="32"/>
          <w:szCs w:val="32"/>
          <w:shd w:val="clear" w:color="auto" w:fill="FFFFFF"/>
          <w:lang w:val="en-US" w:eastAsia="zh-CN"/>
        </w:rPr>
        <w:t>0批次0人</w:t>
      </w:r>
      <w:r>
        <w:rPr>
          <w:rFonts w:hint="eastAsia" w:asciiTheme="minorEastAsia" w:hAnsiTheme="minorEastAsia" w:eastAsiaTheme="minorEastAsia" w:cstheme="minorEastAsia"/>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（二）</w:t>
      </w: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政府性基金预算“三公”经费预算数为</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万元，其中：</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textAlignment w:val="auto"/>
        <w:rPr>
          <w:rFonts w:hint="eastAsia" w:asciiTheme="minorEastAsia" w:hAnsiTheme="minorEastAsia" w:eastAsiaTheme="minorEastAsia" w:cstheme="minorEastAsia"/>
          <w:color w:val="auto"/>
          <w:sz w:val="32"/>
          <w:szCs w:val="32"/>
          <w:shd w:val="clear" w:color="auto" w:fill="FFFFFF"/>
          <w:lang w:eastAsia="zh-CN"/>
        </w:rPr>
      </w:pPr>
      <w:r>
        <w:rPr>
          <w:rFonts w:hint="eastAsia" w:asciiTheme="minorEastAsia" w:hAnsiTheme="minorEastAsia" w:eastAsiaTheme="minorEastAsia" w:cstheme="minorEastAsia"/>
          <w:color w:val="auto"/>
          <w:sz w:val="32"/>
          <w:szCs w:val="32"/>
          <w:shd w:val="clear" w:color="auto" w:fill="FFFFFF"/>
        </w:rPr>
        <w:t>因公出国（境）经费</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w:t>
      </w:r>
      <w:r>
        <w:rPr>
          <w:rFonts w:hint="eastAsia" w:asciiTheme="minorEastAsia" w:hAnsiTheme="minorEastAsia" w:eastAsiaTheme="minorEastAsia" w:cstheme="minorEastAsia"/>
          <w:color w:val="auto"/>
          <w:sz w:val="32"/>
          <w:szCs w:val="32"/>
          <w:shd w:val="clear" w:color="auto" w:fill="FFFFFF"/>
        </w:rPr>
        <w:t>，与上年预算持平</w:t>
      </w:r>
      <w:r>
        <w:rPr>
          <w:rFonts w:hint="eastAsia" w:asciiTheme="minorEastAsia" w:hAnsiTheme="minorEastAsia" w:eastAsiaTheme="minorEastAsia" w:cstheme="minorEastAsia"/>
          <w:color w:val="auto"/>
          <w:sz w:val="32"/>
          <w:szCs w:val="32"/>
          <w:shd w:val="clear" w:color="auto" w:fill="FFFFFF"/>
          <w:lang w:eastAsia="zh-CN"/>
        </w:rPr>
        <w:t>，</w:t>
      </w:r>
      <w:r>
        <w:rPr>
          <w:rFonts w:hint="eastAsia" w:asciiTheme="minorEastAsia" w:hAnsiTheme="minorEastAsia" w:eastAsiaTheme="minorEastAsia" w:cstheme="minorEastAsia"/>
          <w:color w:val="auto"/>
          <w:sz w:val="32"/>
          <w:szCs w:val="32"/>
          <w:shd w:val="clear" w:color="auto" w:fill="FFFFFF"/>
          <w:lang w:val="en-US" w:eastAsia="zh-CN"/>
        </w:rPr>
        <w:t>202</w:t>
      </w:r>
      <w:r>
        <w:rPr>
          <w:rFonts w:hint="eastAsia" w:asciiTheme="minorEastAsia" w:hAnsiTheme="minorEastAsia" w:cstheme="minorEastAsia"/>
          <w:color w:val="auto"/>
          <w:sz w:val="32"/>
          <w:szCs w:val="32"/>
          <w:shd w:val="clear" w:color="auto" w:fill="FFFFFF"/>
          <w:lang w:val="en-US" w:eastAsia="zh-CN"/>
        </w:rPr>
        <w:t>2</w:t>
      </w:r>
      <w:r>
        <w:rPr>
          <w:rFonts w:hint="eastAsia" w:asciiTheme="minorEastAsia" w:hAnsiTheme="minorEastAsia" w:eastAsiaTheme="minorEastAsia" w:cstheme="minorEastAsia"/>
          <w:color w:val="auto"/>
          <w:sz w:val="32"/>
          <w:szCs w:val="32"/>
          <w:shd w:val="clear" w:color="auto" w:fill="FFFFFF"/>
          <w:lang w:val="en-US" w:eastAsia="zh-CN"/>
        </w:rPr>
        <w:t>年无出国安排计划</w:t>
      </w:r>
      <w:r>
        <w:rPr>
          <w:rFonts w:hint="eastAsia" w:asciiTheme="minorEastAsia" w:hAnsiTheme="minorEastAsia" w:eastAsiaTheme="minorEastAsia" w:cstheme="minorEastAsia"/>
          <w:color w:val="auto"/>
          <w:sz w:val="32"/>
          <w:szCs w:val="32"/>
          <w:shd w:val="clear" w:color="auto" w:fill="FFFFFF"/>
        </w:rPr>
        <w:t>；公务用车购置及运行费</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万元（其中，</w:t>
      </w:r>
      <w:r>
        <w:rPr>
          <w:rFonts w:hint="eastAsia" w:asciiTheme="minorEastAsia" w:hAnsiTheme="minorEastAsia" w:eastAsiaTheme="minorEastAsia" w:cstheme="minorEastAsia"/>
          <w:color w:val="auto"/>
          <w:sz w:val="32"/>
          <w:szCs w:val="32"/>
          <w:shd w:val="clear" w:color="auto" w:fill="FFFFFF"/>
        </w:rPr>
        <w:t>公务用车购置费</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w:t>
      </w:r>
      <w:r>
        <w:rPr>
          <w:rFonts w:hint="eastAsia" w:asciiTheme="minorEastAsia" w:hAnsiTheme="minorEastAsia" w:eastAsiaTheme="minorEastAsia" w:cstheme="minorEastAsia"/>
          <w:color w:val="auto"/>
          <w:sz w:val="32"/>
          <w:szCs w:val="32"/>
          <w:shd w:val="clear" w:color="auto" w:fill="FFFFFF"/>
        </w:rPr>
        <w:t>，公务用车运行费</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w:t>
      </w:r>
      <w:r>
        <w:rPr>
          <w:rFonts w:hint="eastAsia" w:asciiTheme="minorEastAsia" w:hAnsiTheme="minorEastAsia" w:eastAsiaTheme="minorEastAsia" w:cstheme="minorEastAsia"/>
          <w:color w:val="auto"/>
          <w:sz w:val="32"/>
          <w:szCs w:val="32"/>
          <w:shd w:val="clear" w:color="auto" w:fill="FFFFFF"/>
        </w:rPr>
        <w:t>，与上年预算持平</w:t>
      </w:r>
      <w:r>
        <w:rPr>
          <w:rFonts w:hint="eastAsia" w:asciiTheme="minorEastAsia" w:hAnsiTheme="minorEastAsia" w:eastAsiaTheme="minorEastAsia" w:cstheme="minorEastAsia"/>
          <w:color w:val="auto"/>
          <w:sz w:val="32"/>
          <w:szCs w:val="32"/>
          <w:shd w:val="clear" w:color="auto" w:fill="FFFFFF"/>
          <w:lang w:eastAsia="zh-CN"/>
        </w:rPr>
        <w:t>；</w:t>
      </w:r>
      <w:r>
        <w:rPr>
          <w:rFonts w:hint="eastAsia" w:asciiTheme="minorEastAsia" w:hAnsiTheme="minorEastAsia" w:eastAsiaTheme="minorEastAsia" w:cstheme="minorEastAsia"/>
          <w:color w:val="auto"/>
          <w:sz w:val="32"/>
          <w:szCs w:val="32"/>
          <w:shd w:val="clear" w:color="auto" w:fill="FFFFFF"/>
        </w:rPr>
        <w:t>公务车保有量</w:t>
      </w:r>
      <w:r>
        <w:rPr>
          <w:rFonts w:hint="eastAsia" w:asciiTheme="minorEastAsia" w:hAnsiTheme="minorEastAsia" w:eastAsiaTheme="minorEastAsia" w:cstheme="minorEastAsia"/>
          <w:color w:val="auto"/>
          <w:sz w:val="32"/>
          <w:szCs w:val="32"/>
          <w:lang w:val="en-US" w:eastAsia="zh-CN"/>
        </w:rPr>
        <w:t>1</w:t>
      </w:r>
      <w:r>
        <w:rPr>
          <w:rFonts w:hint="eastAsia" w:asciiTheme="minorEastAsia" w:hAnsiTheme="minorEastAsia" w:eastAsiaTheme="minorEastAsia" w:cstheme="minorEastAsia"/>
          <w:color w:val="auto"/>
          <w:sz w:val="32"/>
          <w:szCs w:val="32"/>
        </w:rPr>
        <w:t>辆，计划购置</w:t>
      </w:r>
      <w:r>
        <w:rPr>
          <w:rFonts w:hint="eastAsia" w:asciiTheme="minorEastAsia" w:hAnsi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辆</w:t>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rPr>
        <w:t>公务接待费</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shd w:val="clear" w:color="auto" w:fill="FFFFFF"/>
        </w:rPr>
        <w:t>万元，与上年预算持平</w:t>
      </w:r>
      <w:r>
        <w:rPr>
          <w:rFonts w:hint="eastAsia" w:asciiTheme="minorEastAsia" w:hAnsiTheme="minorEastAsia" w:cstheme="minorEastAsia"/>
          <w:color w:val="auto"/>
          <w:sz w:val="32"/>
          <w:szCs w:val="32"/>
          <w:shd w:val="clear" w:color="auto" w:fill="FFFFFF"/>
          <w:lang w:eastAsia="zh-CN"/>
        </w:rPr>
        <w:t>，计划接待</w:t>
      </w:r>
      <w:r>
        <w:rPr>
          <w:rFonts w:hint="eastAsia" w:asciiTheme="minorEastAsia" w:hAnsiTheme="minorEastAsia" w:cstheme="minorEastAsia"/>
          <w:color w:val="auto"/>
          <w:sz w:val="32"/>
          <w:szCs w:val="32"/>
          <w:shd w:val="clear" w:color="auto" w:fill="FFFFFF"/>
          <w:lang w:val="en-US" w:eastAsia="zh-CN"/>
        </w:rPr>
        <w:t>0批次0人</w:t>
      </w:r>
      <w:r>
        <w:rPr>
          <w:rFonts w:hint="eastAsia" w:asciiTheme="minorEastAsia" w:hAnsiTheme="minorEastAsia" w:eastAsiaTheme="minorEastAsia" w:cstheme="minorEastAsia"/>
          <w:color w:val="auto"/>
          <w:sz w:val="32"/>
          <w:szCs w:val="32"/>
          <w:shd w:val="clear" w:color="auto" w:fill="FFFFFF"/>
          <w:lang w:eastAsia="zh-CN"/>
        </w:rPr>
        <w:t>。</w:t>
      </w:r>
    </w:p>
    <w:p>
      <w:pPr>
        <w:keepNext w:val="0"/>
        <w:keepLines w:val="0"/>
        <w:pageBreakBefore w:val="0"/>
        <w:widowControl w:val="0"/>
        <w:numPr>
          <w:ilvl w:val="0"/>
          <w:numId w:val="8"/>
        </w:numPr>
        <w:kinsoku/>
        <w:wordWrap/>
        <w:overflowPunct/>
        <w:topLinePunct w:val="0"/>
        <w:autoSpaceDE/>
        <w:autoSpaceDN/>
        <w:bidi w:val="0"/>
        <w:adjustRightInd/>
        <w:snapToGrid/>
        <w:spacing w:line="572" w:lineRule="exact"/>
        <w:ind w:left="-10" w:leftChars="0" w:firstLine="640" w:firstLineChars="0"/>
        <w:textAlignment w:val="auto"/>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rPr>
        <w:t>关于</w:t>
      </w:r>
      <w:r>
        <w:rPr>
          <w:rFonts w:hint="eastAsia" w:ascii="黑体" w:hAnsi="黑体" w:eastAsia="黑体" w:cs="黑体"/>
          <w:color w:val="auto"/>
          <w:sz w:val="32"/>
          <w:szCs w:val="32"/>
          <w:lang w:val="en-US" w:eastAsia="zh-CN"/>
        </w:rPr>
        <w:t>三亚市土地整理中心2022年</w:t>
      </w:r>
      <w:r>
        <w:rPr>
          <w:rFonts w:hint="eastAsia" w:ascii="黑体" w:hAnsi="黑体" w:eastAsia="黑体" w:cs="黑体"/>
          <w:color w:val="auto"/>
          <w:sz w:val="32"/>
          <w:szCs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ascii="楷体" w:hAnsi="楷体" w:eastAsia="楷体"/>
          <w:color w:val="auto"/>
          <w:sz w:val="32"/>
          <w:szCs w:val="32"/>
          <w:highlight w:val="none"/>
        </w:rPr>
      </w:pPr>
      <w:r>
        <w:rPr>
          <w:rFonts w:hint="eastAsia" w:ascii="楷体" w:hAnsi="楷体" w:eastAsia="楷体"/>
          <w:color w:val="auto"/>
          <w:sz w:val="32"/>
          <w:szCs w:val="32"/>
          <w:highlight w:val="none"/>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eastAsia="zh-CN"/>
        </w:rPr>
        <w:t>三亚市土地整理中心</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年政府性基金预算当年拨款</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持平</w:t>
      </w:r>
      <w:r>
        <w:rPr>
          <w:rFonts w:hint="eastAsia" w:ascii="仿宋_GB2312" w:hAnsi="黑体" w:eastAsia="仿宋_GB2312"/>
          <w:color w:val="auto"/>
          <w:sz w:val="32"/>
          <w:szCs w:val="32"/>
          <w:highlight w:val="none"/>
        </w:rPr>
        <w:t>，主要是</w:t>
      </w:r>
      <w:r>
        <w:rPr>
          <w:rFonts w:hint="eastAsia" w:ascii="仿宋_GB2312" w:hAnsi="黑体" w:eastAsia="仿宋_GB2312" w:cs="仿宋_GB2312"/>
          <w:color w:val="auto"/>
          <w:sz w:val="32"/>
          <w:szCs w:val="32"/>
          <w:highlight w:val="none"/>
          <w:lang w:eastAsia="zh-CN"/>
        </w:rPr>
        <w:t>三亚市土地整理中心无政府性基金预算</w:t>
      </w:r>
      <w:r>
        <w:rPr>
          <w:rFonts w:hint="eastAsia" w:ascii="仿宋_GB2312" w:hAnsi="黑体"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ascii="楷体" w:hAnsi="楷体" w:eastAsia="楷体"/>
          <w:color w:val="auto"/>
          <w:sz w:val="32"/>
          <w:szCs w:val="32"/>
          <w:highlight w:val="none"/>
        </w:rPr>
      </w:pPr>
      <w:r>
        <w:rPr>
          <w:rFonts w:hint="eastAsia" w:ascii="楷体" w:hAnsi="楷体" w:eastAsia="楷体"/>
          <w:color w:val="auto"/>
          <w:sz w:val="32"/>
          <w:szCs w:val="32"/>
          <w:highlight w:val="none"/>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eastAsia="zh-CN"/>
        </w:rPr>
        <w:t>三亚市土地整理中心无政府性基金预算</w:t>
      </w:r>
      <w:r>
        <w:rPr>
          <w:rFonts w:hint="eastAsia" w:ascii="仿宋_GB2312" w:hAnsi="黑体" w:eastAsia="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ascii="楷体" w:hAnsi="楷体" w:eastAsia="楷体"/>
          <w:color w:val="auto"/>
          <w:sz w:val="32"/>
          <w:szCs w:val="32"/>
          <w:highlight w:val="none"/>
        </w:rPr>
      </w:pPr>
      <w:r>
        <w:rPr>
          <w:rFonts w:hint="eastAsia" w:ascii="楷体" w:hAnsi="楷体" w:eastAsia="楷体"/>
          <w:color w:val="auto"/>
          <w:sz w:val="32"/>
          <w:szCs w:val="32"/>
          <w:highlight w:val="none"/>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lang w:eastAsia="zh-CN"/>
        </w:rPr>
        <w:t>三亚市土地整理中心无政府性基金预算</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黑体" w:hAnsi="黑体" w:eastAsia="黑体" w:cs="黑体"/>
          <w:color w:val="auto"/>
          <w:sz w:val="32"/>
          <w:szCs w:val="32"/>
          <w:lang w:val="en-US" w:eastAsia="zh-CN"/>
        </w:rPr>
      </w:pPr>
      <w:r>
        <w:rPr>
          <w:rFonts w:hint="eastAsia" w:asciiTheme="minorEastAsia" w:hAnsiTheme="minorEastAsia" w:eastAsiaTheme="minorEastAsia" w:cstheme="minorEastAsia"/>
          <w:color w:val="auto"/>
          <w:sz w:val="32"/>
          <w:szCs w:val="32"/>
          <w:lang w:eastAsia="zh-CN"/>
        </w:rPr>
        <w:t>六、</w:t>
      </w:r>
      <w:r>
        <w:rPr>
          <w:rFonts w:hint="eastAsia" w:ascii="黑体" w:hAnsi="黑体" w:eastAsia="黑体" w:cs="黑体"/>
          <w:color w:val="auto"/>
          <w:sz w:val="32"/>
          <w:szCs w:val="32"/>
          <w:lang w:eastAsia="zh-CN"/>
        </w:rPr>
        <w:t>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三亚市土地整理中心2022年收支预算情况的总体说明</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FF0000"/>
          <w:sz w:val="32"/>
          <w:szCs w:val="32"/>
        </w:rPr>
      </w:pPr>
      <w:r>
        <w:rPr>
          <w:rFonts w:hint="eastAsia" w:asciiTheme="minorEastAsia" w:hAnsiTheme="minorEastAsia" w:eastAsiaTheme="minorEastAsia" w:cstheme="minorEastAsia"/>
          <w:color w:val="auto"/>
          <w:sz w:val="32"/>
          <w:szCs w:val="32"/>
        </w:rPr>
        <w:t>按照综合预算原则，</w:t>
      </w:r>
      <w:r>
        <w:rPr>
          <w:rFonts w:hint="eastAsia" w:asciiTheme="minorEastAsia" w:hAnsiTheme="minorEastAsia" w:eastAsiaTheme="minorEastAsia" w:cstheme="minorEastAsia"/>
          <w:color w:val="auto"/>
          <w:sz w:val="32"/>
          <w:szCs w:val="32"/>
          <w:lang w:val="en-US" w:eastAsia="zh-CN"/>
        </w:rPr>
        <w:t>三亚市土地整理中心</w:t>
      </w:r>
      <w:r>
        <w:rPr>
          <w:rFonts w:hint="eastAsia" w:asciiTheme="minorEastAsia" w:hAnsiTheme="minorEastAsia" w:eastAsiaTheme="minorEastAsia" w:cstheme="minorEastAsia"/>
          <w:color w:val="auto"/>
          <w:sz w:val="32"/>
          <w:szCs w:val="32"/>
        </w:rPr>
        <w:t>所有收入和支出均纳入部门预算管理。收入包括：一般公共预算收入</w:t>
      </w:r>
      <w:r>
        <w:rPr>
          <w:rFonts w:hint="eastAsia" w:asciiTheme="minorEastAsia" w:hAnsiTheme="minorEastAsia" w:eastAsiaTheme="minorEastAsia" w:cstheme="minorEastAsia"/>
          <w:color w:val="auto"/>
          <w:sz w:val="32"/>
          <w:szCs w:val="32"/>
          <w:lang w:eastAsia="zh-CN"/>
        </w:rPr>
        <w:t>、上年结转</w:t>
      </w:r>
      <w:r>
        <w:rPr>
          <w:rFonts w:hint="eastAsia" w:asciiTheme="minorEastAsia" w:hAnsiTheme="minorEastAsia" w:eastAsiaTheme="minorEastAsia" w:cstheme="minorEastAsia"/>
          <w:color w:val="auto"/>
          <w:sz w:val="32"/>
          <w:szCs w:val="32"/>
        </w:rPr>
        <w:t>；支出包括：</w:t>
      </w:r>
      <w:r>
        <w:rPr>
          <w:rFonts w:hint="eastAsia" w:asciiTheme="minorEastAsia" w:hAnsiTheme="minorEastAsia" w:eastAsiaTheme="minorEastAsia" w:cstheme="minorEastAsia"/>
          <w:color w:val="auto"/>
          <w:sz w:val="32"/>
          <w:szCs w:val="32"/>
          <w:lang w:eastAsia="zh-CN"/>
        </w:rPr>
        <w:t>社会保障和就业支出、卫生健康支出、自然资源海洋气象等支出、住房保障支出</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收支总预算</w:t>
      </w:r>
      <w:r>
        <w:rPr>
          <w:rFonts w:hint="eastAsia" w:asciiTheme="minorEastAsia" w:hAnsiTheme="minorEastAsia" w:cstheme="minorEastAsia"/>
          <w:color w:val="auto"/>
          <w:sz w:val="32"/>
          <w:szCs w:val="32"/>
          <w:lang w:val="en-US" w:eastAsia="zh-CN"/>
        </w:rPr>
        <w:t>1133.39</w:t>
      </w:r>
      <w:r>
        <w:rPr>
          <w:rFonts w:hint="eastAsia" w:asciiTheme="minorEastAsia" w:hAnsiTheme="minorEastAsia" w:eastAsiaTheme="minorEastAsia" w:cstheme="minorEastAsia"/>
          <w:color w:val="auto"/>
          <w:sz w:val="32"/>
          <w:szCs w:val="32"/>
        </w:rPr>
        <w:t>万元。</w:t>
      </w:r>
    </w:p>
    <w:p>
      <w:pPr>
        <w:keepNext w:val="0"/>
        <w:keepLines w:val="0"/>
        <w:pageBreakBefore w:val="0"/>
        <w:widowControl w:val="0"/>
        <w:numPr>
          <w:ilvl w:val="0"/>
          <w:numId w:val="9"/>
        </w:numPr>
        <w:kinsoku/>
        <w:wordWrap/>
        <w:overflowPunct/>
        <w:topLinePunct w:val="0"/>
        <w:autoSpaceDE/>
        <w:autoSpaceDN/>
        <w:bidi w:val="0"/>
        <w:adjustRightInd/>
        <w:snapToGrid/>
        <w:spacing w:line="572" w:lineRule="exact"/>
        <w:ind w:left="-170" w:leftChars="0" w:firstLine="800"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三亚市土地整理中心2022年收入预算情况说明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default"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收入预算</w:t>
      </w:r>
      <w:r>
        <w:rPr>
          <w:rFonts w:hint="eastAsia" w:asciiTheme="minorEastAsia" w:hAnsiTheme="minorEastAsia" w:cstheme="minorEastAsia"/>
          <w:color w:val="auto"/>
          <w:sz w:val="32"/>
          <w:szCs w:val="32"/>
          <w:lang w:val="en-US" w:eastAsia="zh-CN"/>
        </w:rPr>
        <w:t>1133.39</w:t>
      </w:r>
      <w:r>
        <w:rPr>
          <w:rFonts w:hint="eastAsia" w:asciiTheme="minorEastAsia" w:hAnsiTheme="minorEastAsia" w:eastAsiaTheme="minorEastAsia" w:cstheme="minorEastAsia"/>
          <w:color w:val="auto"/>
          <w:sz w:val="32"/>
          <w:szCs w:val="32"/>
        </w:rPr>
        <w:t>万元，其中：上年结转</w:t>
      </w:r>
      <w:r>
        <w:rPr>
          <w:rFonts w:hint="eastAsia" w:asciiTheme="minorEastAsia" w:hAnsiTheme="minorEastAsia" w:cstheme="minorEastAsia"/>
          <w:color w:val="auto"/>
          <w:sz w:val="32"/>
          <w:szCs w:val="32"/>
          <w:lang w:val="en-US" w:eastAsia="zh-CN"/>
        </w:rPr>
        <w:t>700</w:t>
      </w:r>
      <w:r>
        <w:rPr>
          <w:rFonts w:hint="eastAsia" w:asciiTheme="minorEastAsia" w:hAnsiTheme="minorEastAsia" w:eastAsiaTheme="minorEastAsia" w:cstheme="minorEastAsia"/>
          <w:color w:val="auto"/>
          <w:sz w:val="32"/>
          <w:szCs w:val="32"/>
        </w:rPr>
        <w:t>万元，占</w:t>
      </w:r>
      <w:r>
        <w:rPr>
          <w:rFonts w:hint="eastAsia" w:asciiTheme="minorEastAsia" w:hAnsiTheme="minorEastAsia" w:cstheme="minorEastAsia"/>
          <w:color w:val="auto"/>
          <w:sz w:val="32"/>
          <w:szCs w:val="32"/>
          <w:lang w:val="en-US" w:eastAsia="zh-CN"/>
        </w:rPr>
        <w:t>61.8</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一般公共预算拨款</w:t>
      </w:r>
      <w:r>
        <w:rPr>
          <w:rFonts w:hint="eastAsia" w:asciiTheme="minorEastAsia" w:hAnsiTheme="minorEastAsia" w:eastAsiaTheme="minorEastAsia" w:cstheme="minorEastAsia"/>
          <w:color w:val="auto"/>
          <w:sz w:val="32"/>
          <w:szCs w:val="32"/>
        </w:rPr>
        <w:t>收入</w:t>
      </w:r>
      <w:r>
        <w:rPr>
          <w:rFonts w:hint="eastAsia" w:asciiTheme="minorEastAsia" w:hAnsiTheme="minorEastAsia" w:cstheme="minorEastAsia"/>
          <w:color w:val="auto"/>
          <w:sz w:val="32"/>
          <w:szCs w:val="32"/>
          <w:lang w:val="en-US" w:eastAsia="zh-CN"/>
        </w:rPr>
        <w:t>433.39</w:t>
      </w:r>
      <w:r>
        <w:rPr>
          <w:rFonts w:hint="eastAsia" w:asciiTheme="minorEastAsia" w:hAnsiTheme="minorEastAsia" w:eastAsiaTheme="minorEastAsia" w:cstheme="minorEastAsia"/>
          <w:color w:val="auto"/>
          <w:sz w:val="32"/>
          <w:szCs w:val="32"/>
        </w:rPr>
        <w:t>万元，占</w:t>
      </w:r>
      <w:r>
        <w:rPr>
          <w:rFonts w:hint="eastAsia" w:asciiTheme="minorEastAsia" w:hAnsiTheme="minorEastAsia" w:cstheme="minorEastAsia"/>
          <w:color w:val="auto"/>
          <w:sz w:val="32"/>
          <w:szCs w:val="32"/>
          <w:lang w:val="en-US" w:eastAsia="zh-CN"/>
        </w:rPr>
        <w:t>38.2</w:t>
      </w:r>
      <w:r>
        <w:rPr>
          <w:rFonts w:hint="eastAsia" w:asciiTheme="minorEastAsia" w:hAnsiTheme="minorEastAsia" w:eastAsiaTheme="minorEastAsia" w:cstheme="minorEastAsia"/>
          <w:color w:val="auto"/>
          <w:sz w:val="32"/>
          <w:szCs w:val="32"/>
        </w:rPr>
        <w:t>%。比上年预算数</w:t>
      </w:r>
      <w:r>
        <w:rPr>
          <w:rFonts w:hint="eastAsia" w:asciiTheme="minorEastAsia" w:hAnsiTheme="minorEastAsia" w:cstheme="minorEastAsia"/>
          <w:color w:val="auto"/>
          <w:sz w:val="32"/>
          <w:szCs w:val="32"/>
          <w:lang w:eastAsia="zh-CN"/>
        </w:rPr>
        <w:t>减少</w:t>
      </w:r>
      <w:r>
        <w:rPr>
          <w:rFonts w:hint="eastAsia" w:asciiTheme="minorEastAsia" w:hAnsiTheme="minorEastAsia" w:cstheme="minorEastAsia"/>
          <w:color w:val="auto"/>
          <w:sz w:val="32"/>
          <w:szCs w:val="32"/>
          <w:lang w:val="en-US" w:eastAsia="zh-CN"/>
        </w:rPr>
        <w:t>29.73</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主要原因为上年结转数额减少导致</w:t>
      </w:r>
      <w:r>
        <w:rPr>
          <w:rFonts w:hint="eastAsia" w:asciiTheme="minorEastAsia" w:hAnsiTheme="minorEastAsia" w:eastAsiaTheme="minorEastAsia" w:cstheme="minorEastAsia"/>
          <w:color w:val="auto"/>
          <w:sz w:val="32"/>
          <w:szCs w:val="32"/>
          <w:lang w:val="en-US" w:eastAsia="zh-CN"/>
        </w:rPr>
        <w:t>。</w:t>
      </w:r>
    </w:p>
    <w:p>
      <w:pPr>
        <w:keepNext w:val="0"/>
        <w:keepLines w:val="0"/>
        <w:pageBreakBefore w:val="0"/>
        <w:widowControl w:val="0"/>
        <w:numPr>
          <w:ilvl w:val="0"/>
          <w:numId w:val="9"/>
        </w:numPr>
        <w:kinsoku/>
        <w:wordWrap/>
        <w:overflowPunct/>
        <w:topLinePunct w:val="0"/>
        <w:autoSpaceDE/>
        <w:autoSpaceDN/>
        <w:bidi w:val="0"/>
        <w:adjustRightInd/>
        <w:snapToGrid/>
        <w:spacing w:line="572" w:lineRule="exact"/>
        <w:ind w:left="-170" w:leftChars="0" w:firstLine="800"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关</w:t>
      </w:r>
      <w:r>
        <w:rPr>
          <w:rFonts w:hint="eastAsia" w:ascii="黑体" w:hAnsi="黑体" w:eastAsia="黑体" w:cs="黑体"/>
          <w:color w:val="auto"/>
          <w:sz w:val="32"/>
          <w:szCs w:val="32"/>
        </w:rPr>
        <w:t>于</w:t>
      </w:r>
      <w:r>
        <w:rPr>
          <w:rFonts w:hint="eastAsia" w:ascii="黑体" w:hAnsi="黑体" w:eastAsia="黑体" w:cs="黑体"/>
          <w:color w:val="auto"/>
          <w:sz w:val="32"/>
          <w:szCs w:val="32"/>
          <w:lang w:val="en-US" w:eastAsia="zh-CN"/>
        </w:rPr>
        <w:t>三亚市土地整理中心2022年支出预算情况说明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FF0000"/>
          <w:sz w:val="32"/>
          <w:szCs w:val="32"/>
        </w:rPr>
      </w:pPr>
      <w:r>
        <w:rPr>
          <w:rFonts w:hint="eastAsia" w:asciiTheme="minorEastAsia" w:hAnsiTheme="minorEastAsia" w:eastAsiaTheme="minorEastAsia" w:cstheme="minorEastAsia"/>
          <w:color w:val="auto"/>
          <w:sz w:val="32"/>
          <w:szCs w:val="32"/>
          <w:lang w:val="en-US" w:eastAsia="zh-CN"/>
        </w:rPr>
        <w:t>三亚市土地整理中心202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w:t>
      </w:r>
      <w:r>
        <w:rPr>
          <w:rFonts w:hint="eastAsia" w:asciiTheme="minorEastAsia" w:hAnsiTheme="minorEastAsia" w:eastAsiaTheme="minorEastAsia" w:cstheme="minorEastAsia"/>
          <w:color w:val="auto"/>
          <w:sz w:val="32"/>
          <w:szCs w:val="32"/>
        </w:rPr>
        <w:t>支出预算</w:t>
      </w:r>
      <w:r>
        <w:rPr>
          <w:rFonts w:hint="eastAsia" w:asciiTheme="minorEastAsia" w:hAnsiTheme="minorEastAsia" w:cstheme="minorEastAsia"/>
          <w:color w:val="auto"/>
          <w:sz w:val="32"/>
          <w:szCs w:val="32"/>
          <w:lang w:val="en-US" w:eastAsia="zh-CN"/>
        </w:rPr>
        <w:t>1133.39</w:t>
      </w:r>
      <w:r>
        <w:rPr>
          <w:rFonts w:hint="eastAsia" w:asciiTheme="minorEastAsia" w:hAnsiTheme="minorEastAsia" w:eastAsiaTheme="minorEastAsia" w:cstheme="minorEastAsia"/>
          <w:color w:val="auto"/>
          <w:sz w:val="32"/>
          <w:szCs w:val="32"/>
        </w:rPr>
        <w:t>万元，其中：基本支出</w:t>
      </w:r>
      <w:r>
        <w:rPr>
          <w:rFonts w:hint="eastAsia" w:asciiTheme="minorEastAsia" w:hAnsiTheme="minorEastAsia" w:cstheme="minorEastAsia"/>
          <w:color w:val="auto"/>
          <w:sz w:val="32"/>
          <w:szCs w:val="32"/>
          <w:lang w:val="en-US" w:eastAsia="zh-CN"/>
        </w:rPr>
        <w:t>165.39</w:t>
      </w:r>
      <w:r>
        <w:rPr>
          <w:rFonts w:hint="eastAsia" w:asciiTheme="minorEastAsia" w:hAnsiTheme="minorEastAsia" w:eastAsiaTheme="minorEastAsia" w:cstheme="minorEastAsia"/>
          <w:color w:val="auto"/>
          <w:sz w:val="32"/>
          <w:szCs w:val="32"/>
        </w:rPr>
        <w:t>万元，占</w:t>
      </w:r>
      <w:r>
        <w:rPr>
          <w:rFonts w:hint="eastAsia" w:asciiTheme="minorEastAsia" w:hAnsiTheme="minorEastAsia" w:cstheme="minorEastAsia"/>
          <w:color w:val="auto"/>
          <w:sz w:val="32"/>
          <w:szCs w:val="32"/>
          <w:lang w:val="en-US" w:eastAsia="zh-CN"/>
        </w:rPr>
        <w:t>14.6</w:t>
      </w:r>
      <w:r>
        <w:rPr>
          <w:rFonts w:hint="eastAsia" w:asciiTheme="minorEastAsia" w:hAnsiTheme="minorEastAsia" w:eastAsiaTheme="minorEastAsia" w:cstheme="minorEastAsia"/>
          <w:color w:val="auto"/>
          <w:sz w:val="32"/>
          <w:szCs w:val="32"/>
        </w:rPr>
        <w:t>%；项目支出</w:t>
      </w:r>
      <w:r>
        <w:rPr>
          <w:rFonts w:hint="eastAsia" w:asciiTheme="minorEastAsia" w:hAnsiTheme="minorEastAsia" w:cstheme="minorEastAsia"/>
          <w:color w:val="auto"/>
          <w:sz w:val="32"/>
          <w:szCs w:val="32"/>
          <w:lang w:val="en-US" w:eastAsia="zh-CN"/>
        </w:rPr>
        <w:t>968</w:t>
      </w:r>
      <w:r>
        <w:rPr>
          <w:rFonts w:hint="eastAsia" w:asciiTheme="minorEastAsia" w:hAnsiTheme="minorEastAsia" w:eastAsiaTheme="minorEastAsia" w:cstheme="minorEastAsia"/>
          <w:color w:val="auto"/>
          <w:sz w:val="32"/>
          <w:szCs w:val="32"/>
        </w:rPr>
        <w:t>万元，占</w:t>
      </w:r>
      <w:r>
        <w:rPr>
          <w:rFonts w:hint="eastAsia" w:asciiTheme="minorEastAsia" w:hAnsiTheme="minorEastAsia" w:cstheme="minorEastAsia"/>
          <w:color w:val="auto"/>
          <w:sz w:val="32"/>
          <w:szCs w:val="32"/>
          <w:lang w:val="en-US" w:eastAsia="zh-CN"/>
        </w:rPr>
        <w:t>85.4</w:t>
      </w:r>
      <w:r>
        <w:rPr>
          <w:rFonts w:hint="eastAsia" w:asciiTheme="minorEastAsia" w:hAnsiTheme="minorEastAsia" w:eastAsiaTheme="minorEastAsia" w:cstheme="minorEastAsia"/>
          <w:color w:val="auto"/>
          <w:sz w:val="32"/>
          <w:szCs w:val="32"/>
        </w:rPr>
        <w:t>%。比上年预算数</w:t>
      </w:r>
      <w:r>
        <w:rPr>
          <w:rFonts w:hint="eastAsia" w:asciiTheme="minorEastAsia" w:hAnsiTheme="minorEastAsia" w:cstheme="minorEastAsia"/>
          <w:color w:val="auto"/>
          <w:sz w:val="32"/>
          <w:szCs w:val="32"/>
          <w:lang w:eastAsia="zh-CN"/>
        </w:rPr>
        <w:t>减少</w:t>
      </w:r>
      <w:r>
        <w:rPr>
          <w:rFonts w:hint="eastAsia" w:asciiTheme="minorEastAsia" w:hAnsiTheme="minorEastAsia" w:cstheme="minorEastAsia"/>
          <w:color w:val="auto"/>
          <w:sz w:val="32"/>
          <w:szCs w:val="32"/>
          <w:lang w:val="en-US" w:eastAsia="zh-CN"/>
        </w:rPr>
        <w:t>29.73</w:t>
      </w:r>
      <w:r>
        <w:rPr>
          <w:rFonts w:hint="eastAsia" w:asciiTheme="minorEastAsia" w:hAnsiTheme="minorEastAsia" w:eastAsiaTheme="minorEastAsia" w:cstheme="minorEastAsia"/>
          <w:color w:val="auto"/>
          <w:sz w:val="32"/>
          <w:szCs w:val="32"/>
        </w:rPr>
        <w:t>万元，</w:t>
      </w:r>
      <w:r>
        <w:rPr>
          <w:rFonts w:hint="eastAsia" w:asciiTheme="minorEastAsia" w:hAnsiTheme="minorEastAsia" w:cstheme="minorEastAsia"/>
          <w:color w:val="auto"/>
          <w:sz w:val="32"/>
          <w:szCs w:val="32"/>
          <w:lang w:eastAsia="zh-CN"/>
        </w:rPr>
        <w:t>主要原因为上年结转数额减少导致</w:t>
      </w:r>
      <w:r>
        <w:rPr>
          <w:rFonts w:hint="eastAsia" w:asciiTheme="minorEastAsia" w:hAnsiTheme="minorEastAsia" w:eastAsiaTheme="minorEastAsia" w:cstheme="minorEastAsia"/>
          <w:color w:val="auto"/>
          <w:sz w:val="32"/>
          <w:szCs w:val="32"/>
          <w:lang w:val="en-US" w:eastAsia="zh-CN"/>
        </w:rPr>
        <w:t>。</w:t>
      </w:r>
    </w:p>
    <w:p>
      <w:pPr>
        <w:keepNext w:val="0"/>
        <w:keepLines w:val="0"/>
        <w:pageBreakBefore w:val="0"/>
        <w:widowControl w:val="0"/>
        <w:numPr>
          <w:ilvl w:val="0"/>
          <w:numId w:val="9"/>
        </w:numPr>
        <w:kinsoku/>
        <w:wordWrap/>
        <w:overflowPunct/>
        <w:topLinePunct w:val="0"/>
        <w:autoSpaceDE/>
        <w:autoSpaceDN/>
        <w:bidi w:val="0"/>
        <w:adjustRightInd/>
        <w:snapToGrid/>
        <w:spacing w:line="572" w:lineRule="exact"/>
        <w:ind w:left="-170" w:leftChars="0" w:firstLine="800" w:firstLine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其他重要事项的情况说明</w:t>
      </w:r>
    </w:p>
    <w:p>
      <w:pPr>
        <w:keepNext w:val="0"/>
        <w:keepLines w:val="0"/>
        <w:pageBreakBefore w:val="0"/>
        <w:widowControl w:val="0"/>
        <w:numPr>
          <w:ilvl w:val="0"/>
          <w:numId w:val="10"/>
        </w:numPr>
        <w:kinsoku/>
        <w:wordWrap/>
        <w:overflowPunct/>
        <w:topLinePunct w:val="0"/>
        <w:autoSpaceDE/>
        <w:autoSpaceDN/>
        <w:bidi w:val="0"/>
        <w:adjustRightInd/>
        <w:snapToGrid/>
        <w:spacing w:line="572" w:lineRule="exact"/>
        <w:ind w:left="630" w:leftChars="0"/>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机关运行经费</w:t>
      </w:r>
    </w:p>
    <w:p>
      <w:pPr>
        <w:ind w:firstLine="640" w:firstLineChars="200"/>
        <w:rPr>
          <w:rFonts w:hint="eastAsia" w:ascii="楷体" w:hAnsi="楷体" w:eastAsia="楷体"/>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lang w:eastAsia="zh-CN"/>
        </w:rPr>
        <w:t>三亚市土地整理中心</w:t>
      </w:r>
      <w:r>
        <w:rPr>
          <w:rFonts w:hint="eastAsia" w:ascii="仿宋_GB2312" w:hAnsi="黑体" w:eastAsia="仿宋_GB2312" w:cs="仿宋_GB2312"/>
          <w:color w:val="auto"/>
          <w:sz w:val="32"/>
          <w:szCs w:val="32"/>
          <w:highlight w:val="none"/>
        </w:rPr>
        <w:t>的</w:t>
      </w:r>
      <w:bookmarkStart w:id="0" w:name="_GoBack"/>
      <w:bookmarkEnd w:id="0"/>
      <w:r>
        <w:rPr>
          <w:rFonts w:hint="eastAsia" w:ascii="仿宋_GB2312" w:hAnsi="黑体" w:eastAsia="仿宋_GB2312" w:cs="仿宋_GB2312"/>
          <w:color w:val="auto"/>
          <w:sz w:val="32"/>
          <w:szCs w:val="32"/>
          <w:highlight w:val="none"/>
        </w:rPr>
        <w:t>机关运行经费预算</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cstheme="minorEastAsia"/>
          <w:color w:val="auto"/>
          <w:sz w:val="32"/>
          <w:szCs w:val="32"/>
          <w:lang w:eastAsia="zh-CN"/>
        </w:rPr>
        <w:t>（二）</w:t>
      </w:r>
      <w:r>
        <w:rPr>
          <w:rFonts w:hint="eastAsia" w:asciiTheme="minorEastAsia" w:hAnsiTheme="minorEastAsia" w:eastAsiaTheme="minorEastAsia" w:cstheme="minorEastAsia"/>
          <w:color w:val="auto"/>
          <w:sz w:val="32"/>
          <w:szCs w:val="32"/>
        </w:rPr>
        <w:t>政府采购情况</w:t>
      </w:r>
    </w:p>
    <w:p>
      <w:pPr>
        <w:keepNext w:val="0"/>
        <w:keepLines w:val="0"/>
        <w:pageBreakBefore w:val="0"/>
        <w:widowControl w:val="0"/>
        <w:numPr>
          <w:ilvl w:val="0"/>
          <w:numId w:val="0"/>
        </w:numPr>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lang w:val="en-US" w:eastAsia="zh-CN"/>
        </w:rPr>
        <w:t>三亚市土地整理中心无政府采购</w:t>
      </w:r>
      <w:r>
        <w:rPr>
          <w:rFonts w:hint="eastAsia" w:asciiTheme="minorEastAsia" w:hAnsiTheme="minorEastAsia" w:cstheme="minorEastAsia"/>
          <w:color w:val="auto"/>
          <w:sz w:val="32"/>
          <w:szCs w:val="32"/>
          <w:lang w:val="en-US" w:eastAsia="zh-CN"/>
        </w:rPr>
        <w:t>。</w:t>
      </w:r>
    </w:p>
    <w:p>
      <w:pPr>
        <w:keepNext w:val="0"/>
        <w:keepLines w:val="0"/>
        <w:pageBreakBefore w:val="0"/>
        <w:widowControl w:val="0"/>
        <w:numPr>
          <w:ilvl w:val="0"/>
          <w:numId w:val="11"/>
        </w:numPr>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国有资产占有使用情况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截至</w:t>
      </w: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1</w:t>
      </w:r>
      <w:r>
        <w:rPr>
          <w:rFonts w:hint="eastAsia" w:asciiTheme="minorEastAsia" w:hAnsiTheme="minorEastAsia" w:eastAsiaTheme="minorEastAsia" w:cstheme="minorEastAsia"/>
          <w:color w:val="auto"/>
          <w:sz w:val="32"/>
          <w:szCs w:val="32"/>
        </w:rPr>
        <w:t>年12月31日，</w:t>
      </w:r>
      <w:r>
        <w:rPr>
          <w:rFonts w:hint="eastAsia" w:asciiTheme="minorEastAsia" w:hAnsiTheme="minorEastAsia" w:eastAsiaTheme="minorEastAsia" w:cstheme="minorEastAsia"/>
          <w:color w:val="auto"/>
          <w:sz w:val="32"/>
          <w:szCs w:val="32"/>
          <w:lang w:val="en-US" w:eastAsia="zh-CN"/>
        </w:rPr>
        <w:t>三亚市土地整理中心</w:t>
      </w:r>
      <w:r>
        <w:rPr>
          <w:rFonts w:hint="eastAsia" w:asciiTheme="minorEastAsia" w:hAnsiTheme="minorEastAsia" w:eastAsiaTheme="minorEastAsia" w:cstheme="minorEastAsia"/>
          <w:color w:val="auto"/>
          <w:sz w:val="32"/>
          <w:szCs w:val="32"/>
        </w:rPr>
        <w:t>本级预算单位共有车辆</w:t>
      </w:r>
      <w:r>
        <w:rPr>
          <w:rFonts w:hint="eastAsia" w:asciiTheme="minorEastAsia" w:hAnsiTheme="minorEastAsia" w:eastAsiaTheme="minorEastAsia" w:cstheme="minorEastAsia"/>
          <w:color w:val="auto"/>
          <w:sz w:val="32"/>
          <w:szCs w:val="32"/>
          <w:lang w:val="en-US" w:eastAsia="zh-CN"/>
        </w:rPr>
        <w:t>1</w:t>
      </w:r>
      <w:r>
        <w:rPr>
          <w:rFonts w:hint="eastAsia" w:asciiTheme="minorEastAsia" w:hAnsiTheme="minorEastAsia" w:eastAsiaTheme="minorEastAsia" w:cstheme="minorEastAsia"/>
          <w:color w:val="auto"/>
          <w:sz w:val="32"/>
          <w:szCs w:val="32"/>
        </w:rPr>
        <w:t>辆，其中，其他用车</w:t>
      </w:r>
      <w:r>
        <w:rPr>
          <w:rFonts w:hint="eastAsia" w:asciiTheme="minorEastAsia" w:hAnsiTheme="minorEastAsia" w:eastAsiaTheme="minorEastAsia" w:cstheme="minorEastAsia"/>
          <w:color w:val="auto"/>
          <w:sz w:val="32"/>
          <w:szCs w:val="32"/>
          <w:lang w:val="en-US" w:eastAsia="zh-CN"/>
        </w:rPr>
        <w:t>1</w:t>
      </w:r>
      <w:r>
        <w:rPr>
          <w:rFonts w:hint="eastAsia" w:asciiTheme="minorEastAsia" w:hAnsiTheme="minorEastAsia" w:eastAsiaTheme="minorEastAsia" w:cstheme="minorEastAsia"/>
          <w:color w:val="auto"/>
          <w:sz w:val="32"/>
          <w:szCs w:val="32"/>
        </w:rPr>
        <w:t>辆。</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三</w:t>
      </w:r>
      <w:r>
        <w:rPr>
          <w:rFonts w:hint="eastAsia" w:asciiTheme="minorEastAsia" w:hAnsiTheme="minorEastAsia" w:eastAsiaTheme="minorEastAsia" w:cstheme="minorEastAsia"/>
          <w:color w:val="auto"/>
          <w:sz w:val="32"/>
          <w:szCs w:val="32"/>
        </w:rPr>
        <w:t>）绩效目标设置情况</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202</w:t>
      </w:r>
      <w:r>
        <w:rPr>
          <w:rFonts w:hint="eastAsia" w:asciiTheme="minorEastAsia" w:hAnsiTheme="minorEastAsia" w:cstheme="minorEastAsia"/>
          <w:color w:val="auto"/>
          <w:sz w:val="32"/>
          <w:szCs w:val="32"/>
          <w:lang w:val="en-US" w:eastAsia="zh-CN"/>
        </w:rPr>
        <w:t>2</w:t>
      </w:r>
      <w:r>
        <w:rPr>
          <w:rFonts w:hint="eastAsia" w:asciiTheme="minorEastAsia" w:hAnsiTheme="minorEastAsia" w:eastAsiaTheme="minorEastAsia" w:cstheme="minorEastAsia"/>
          <w:color w:val="auto"/>
          <w:sz w:val="32"/>
          <w:szCs w:val="32"/>
          <w:lang w:val="en-US" w:eastAsia="zh-CN"/>
        </w:rPr>
        <w:t>年三亚市土地整理中心所有</w:t>
      </w:r>
      <w:r>
        <w:rPr>
          <w:rFonts w:hint="eastAsia" w:asciiTheme="minorEastAsia" w:hAnsiTheme="minorEastAsia" w:eastAsiaTheme="minorEastAsia" w:cstheme="minorEastAsia"/>
          <w:color w:val="auto"/>
          <w:sz w:val="32"/>
          <w:szCs w:val="32"/>
        </w:rPr>
        <w:t>项目实行绩效目标管理，涉及一般公共预算</w:t>
      </w:r>
      <w:r>
        <w:rPr>
          <w:rFonts w:hint="eastAsia" w:asciiTheme="minorEastAsia" w:hAnsiTheme="minorEastAsia" w:cstheme="minorEastAsia"/>
          <w:color w:val="auto"/>
          <w:sz w:val="32"/>
          <w:szCs w:val="32"/>
          <w:lang w:val="en-US" w:eastAsia="zh-CN"/>
        </w:rPr>
        <w:t>433.39</w:t>
      </w:r>
      <w:r>
        <w:rPr>
          <w:rFonts w:hint="eastAsia" w:asciiTheme="minorEastAsia" w:hAnsiTheme="minorEastAsia" w:eastAsiaTheme="minorEastAsia" w:cstheme="minorEastAsia"/>
          <w:color w:val="auto"/>
          <w:sz w:val="32"/>
          <w:szCs w:val="32"/>
        </w:rPr>
        <w:t>万元、</w:t>
      </w:r>
      <w:r>
        <w:rPr>
          <w:rFonts w:hint="eastAsia" w:asciiTheme="minorEastAsia" w:hAnsiTheme="minorEastAsia" w:eastAsiaTheme="minorEastAsia" w:cstheme="minorEastAsia"/>
          <w:color w:val="auto"/>
          <w:sz w:val="32"/>
          <w:szCs w:val="32"/>
          <w:lang w:eastAsia="zh-CN"/>
        </w:rPr>
        <w:t>上年结转</w:t>
      </w:r>
      <w:r>
        <w:rPr>
          <w:rFonts w:hint="eastAsia" w:asciiTheme="minorEastAsia" w:hAnsiTheme="minorEastAsia" w:cstheme="minorEastAsia"/>
          <w:color w:val="auto"/>
          <w:sz w:val="32"/>
          <w:szCs w:val="32"/>
          <w:lang w:val="en-US" w:eastAsia="zh-CN"/>
        </w:rPr>
        <w:t>700</w:t>
      </w:r>
      <w:r>
        <w:rPr>
          <w:rFonts w:hint="eastAsia" w:asciiTheme="minorEastAsia" w:hAnsiTheme="minorEastAsia" w:eastAsiaTheme="minorEastAsia" w:cstheme="minorEastAsia"/>
          <w:color w:val="auto"/>
          <w:sz w:val="32"/>
          <w:szCs w:val="32"/>
        </w:rPr>
        <w:t>万元</w:t>
      </w:r>
      <w:r>
        <w:rPr>
          <w:rFonts w:hint="eastAsia" w:asciiTheme="minorEastAsia" w:hAnsiTheme="minorEastAsia" w:eastAsiaTheme="minorEastAsia" w:cstheme="minorEastAsia"/>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textAlignment w:val="auto"/>
        <w:rPr>
          <w:rFonts w:hint="eastAsia" w:asciiTheme="minorEastAsia" w:hAnsiTheme="minorEastAsia" w:eastAsiaTheme="minorEastAsia" w:cstheme="minorEastAsia"/>
          <w:color w:val="FF0000"/>
          <w:sz w:val="32"/>
          <w:szCs w:val="32"/>
        </w:rPr>
      </w:pPr>
    </w:p>
    <w:p>
      <w:pPr>
        <w:keepNext w:val="0"/>
        <w:keepLines w:val="0"/>
        <w:pageBreakBefore w:val="0"/>
        <w:widowControl w:val="0"/>
        <w:kinsoku/>
        <w:wordWrap/>
        <w:overflowPunct/>
        <w:topLinePunct w:val="0"/>
        <w:autoSpaceDE/>
        <w:autoSpaceDN/>
        <w:bidi w:val="0"/>
        <w:adjustRightInd/>
        <w:snapToGrid/>
        <w:spacing w:line="572" w:lineRule="exact"/>
        <w:jc w:val="center"/>
        <w:textAlignment w:val="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bCs/>
          <w:color w:val="auto"/>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eastAsia" w:asciiTheme="minorEastAsia" w:hAnsiTheme="minorEastAsia" w:eastAsiaTheme="minorEastAsia" w:cstheme="minorEastAsia"/>
          <w:color w:val="auto"/>
          <w:kern w:val="0"/>
          <w:sz w:val="32"/>
          <w:szCs w:val="32"/>
        </w:rPr>
      </w:pPr>
      <w:r>
        <w:rPr>
          <w:rFonts w:hint="eastAsia" w:asciiTheme="minorEastAsia" w:hAnsiTheme="minorEastAsia" w:eastAsiaTheme="minorEastAsia" w:cstheme="minorEastAsia"/>
          <w:color w:val="auto"/>
          <w:kern w:val="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hint="default" w:eastAsiaTheme="minorEastAsia"/>
          <w:sz w:val="52"/>
          <w:szCs w:val="5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6A11E1"/>
    <w:multiLevelType w:val="singleLevel"/>
    <w:tmpl w:val="9C6A11E1"/>
    <w:lvl w:ilvl="0" w:tentative="0">
      <w:start w:val="7"/>
      <w:numFmt w:val="chineseCounting"/>
      <w:suff w:val="nothing"/>
      <w:lvlText w:val="%1、"/>
      <w:lvlJc w:val="left"/>
      <w:pPr>
        <w:ind w:left="-170"/>
      </w:pPr>
      <w:rPr>
        <w:rFonts w:hint="eastAsia"/>
      </w:rPr>
    </w:lvl>
  </w:abstractNum>
  <w:abstractNum w:abstractNumId="1">
    <w:nsid w:val="A6F782A7"/>
    <w:multiLevelType w:val="singleLevel"/>
    <w:tmpl w:val="A6F782A7"/>
    <w:lvl w:ilvl="0" w:tentative="0">
      <w:start w:val="5"/>
      <w:numFmt w:val="chineseCounting"/>
      <w:suff w:val="nothing"/>
      <w:lvlText w:val="%1、"/>
      <w:lvlJc w:val="left"/>
      <w:pPr>
        <w:ind w:left="-10"/>
      </w:pPr>
      <w:rPr>
        <w:rFonts w:hint="eastAsia"/>
      </w:rPr>
    </w:lvl>
  </w:abstractNum>
  <w:abstractNum w:abstractNumId="2">
    <w:nsid w:val="D7CD6ED1"/>
    <w:multiLevelType w:val="singleLevel"/>
    <w:tmpl w:val="D7CD6ED1"/>
    <w:lvl w:ilvl="0" w:tentative="0">
      <w:start w:val="1"/>
      <w:numFmt w:val="chineseCounting"/>
      <w:suff w:val="space"/>
      <w:lvlText w:val="第%1部分"/>
      <w:lvlJc w:val="left"/>
      <w:pPr>
        <w:ind w:left="420"/>
      </w:pPr>
      <w:rPr>
        <w:rFonts w:hint="eastAsia" w:ascii="黑体" w:hAnsi="黑体" w:eastAsia="黑体" w:cs="黑体"/>
        <w:color w:val="auto"/>
      </w:rPr>
    </w:lvl>
  </w:abstractNum>
  <w:abstractNum w:abstractNumId="3">
    <w:nsid w:val="005AFB91"/>
    <w:multiLevelType w:val="singleLevel"/>
    <w:tmpl w:val="005AFB91"/>
    <w:lvl w:ilvl="0" w:tentative="0">
      <w:start w:val="1"/>
      <w:numFmt w:val="chineseCounting"/>
      <w:suff w:val="nothing"/>
      <w:lvlText w:val="%1、"/>
      <w:lvlJc w:val="left"/>
      <w:rPr>
        <w:rFonts w:hint="eastAsia"/>
      </w:rPr>
    </w:lvl>
  </w:abstractNum>
  <w:abstractNum w:abstractNumId="4">
    <w:nsid w:val="18C3107E"/>
    <w:multiLevelType w:val="singleLevel"/>
    <w:tmpl w:val="18C3107E"/>
    <w:lvl w:ilvl="0" w:tentative="0">
      <w:start w:val="1"/>
      <w:numFmt w:val="chineseCounting"/>
      <w:suff w:val="space"/>
      <w:lvlText w:val="第%1部分"/>
      <w:lvlJc w:val="left"/>
      <w:pPr>
        <w:ind w:left="0"/>
      </w:pPr>
      <w:rPr>
        <w:rFonts w:hint="eastAsia" w:ascii="黑体" w:hAnsi="黑体" w:eastAsia="黑体" w:cs="黑体"/>
      </w:rPr>
    </w:lvl>
  </w:abstractNum>
  <w:abstractNum w:abstractNumId="5">
    <w:nsid w:val="1AB11023"/>
    <w:multiLevelType w:val="singleLevel"/>
    <w:tmpl w:val="1AB11023"/>
    <w:lvl w:ilvl="0" w:tentative="0">
      <w:start w:val="1"/>
      <w:numFmt w:val="chineseCounting"/>
      <w:suff w:val="nothing"/>
      <w:lvlText w:val="（%1）"/>
      <w:lvlJc w:val="left"/>
      <w:pPr>
        <w:ind w:left="-10"/>
      </w:pPr>
      <w:rPr>
        <w:rFonts w:hint="eastAsia"/>
      </w:rPr>
    </w:lvl>
  </w:abstractNum>
  <w:abstractNum w:abstractNumId="6">
    <w:nsid w:val="2FE76C49"/>
    <w:multiLevelType w:val="singleLevel"/>
    <w:tmpl w:val="2FE76C49"/>
    <w:lvl w:ilvl="0" w:tentative="0">
      <w:start w:val="1"/>
      <w:numFmt w:val="chineseCounting"/>
      <w:suff w:val="nothing"/>
      <w:lvlText w:val="（%1）"/>
      <w:lvlJc w:val="left"/>
      <w:rPr>
        <w:rFonts w:hint="eastAsia"/>
      </w:rPr>
    </w:lvl>
  </w:abstractNum>
  <w:abstractNum w:abstractNumId="7">
    <w:nsid w:val="3606B976"/>
    <w:multiLevelType w:val="singleLevel"/>
    <w:tmpl w:val="3606B976"/>
    <w:lvl w:ilvl="0" w:tentative="0">
      <w:start w:val="1"/>
      <w:numFmt w:val="chineseCounting"/>
      <w:suff w:val="nothing"/>
      <w:lvlText w:val="（%1）"/>
      <w:lvlJc w:val="left"/>
      <w:rPr>
        <w:rFonts w:hint="eastAsia"/>
      </w:rPr>
    </w:lvl>
  </w:abstractNum>
  <w:abstractNum w:abstractNumId="8">
    <w:nsid w:val="4B064CF9"/>
    <w:multiLevelType w:val="singleLevel"/>
    <w:tmpl w:val="4B064CF9"/>
    <w:lvl w:ilvl="0" w:tentative="0">
      <w:start w:val="1"/>
      <w:numFmt w:val="chineseCounting"/>
      <w:suff w:val="nothing"/>
      <w:lvlText w:val="（%1）"/>
      <w:lvlJc w:val="left"/>
      <w:rPr>
        <w:rFonts w:hint="eastAsia"/>
      </w:rPr>
    </w:lvl>
  </w:abstractNum>
  <w:abstractNum w:abstractNumId="9">
    <w:nsid w:val="5A611727"/>
    <w:multiLevelType w:val="multilevel"/>
    <w:tmpl w:val="5A611727"/>
    <w:lvl w:ilvl="0" w:tentative="0">
      <w:start w:val="1"/>
      <w:numFmt w:val="japaneseCounting"/>
      <w:lvlText w:val="%1、"/>
      <w:lvlJc w:val="left"/>
      <w:pPr>
        <w:ind w:left="156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14FAD93"/>
    <w:multiLevelType w:val="singleLevel"/>
    <w:tmpl w:val="614FAD93"/>
    <w:lvl w:ilvl="0" w:tentative="0">
      <w:start w:val="1"/>
      <w:numFmt w:val="chineseCounting"/>
      <w:suff w:val="nothing"/>
      <w:lvlText w:val="%1、"/>
      <w:lvlJc w:val="left"/>
      <w:pPr>
        <w:ind w:left="210"/>
      </w:pPr>
      <w:rPr>
        <w:rFonts w:hint="eastAsia"/>
      </w:rPr>
    </w:lvl>
  </w:abstractNum>
  <w:num w:numId="1">
    <w:abstractNumId w:val="2"/>
  </w:num>
  <w:num w:numId="2">
    <w:abstractNumId w:val="3"/>
  </w:num>
  <w:num w:numId="3">
    <w:abstractNumId w:val="9"/>
  </w:num>
  <w:num w:numId="4">
    <w:abstractNumId w:val="4"/>
  </w:num>
  <w:num w:numId="5">
    <w:abstractNumId w:val="10"/>
  </w:num>
  <w:num w:numId="6">
    <w:abstractNumId w:val="6"/>
  </w:num>
  <w:num w:numId="7">
    <w:abstractNumId w:val="5"/>
  </w:num>
  <w:num w:numId="8">
    <w:abstractNumId w:val="1"/>
  </w:num>
  <w:num w:numId="9">
    <w:abstractNumId w:val="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D13A9"/>
    <w:rsid w:val="0426385C"/>
    <w:rsid w:val="0946416A"/>
    <w:rsid w:val="094E1AEC"/>
    <w:rsid w:val="099701D8"/>
    <w:rsid w:val="11EA4272"/>
    <w:rsid w:val="124C5A1C"/>
    <w:rsid w:val="13C5578B"/>
    <w:rsid w:val="14667471"/>
    <w:rsid w:val="14E33851"/>
    <w:rsid w:val="15321897"/>
    <w:rsid w:val="156153AF"/>
    <w:rsid w:val="15760C14"/>
    <w:rsid w:val="188F7277"/>
    <w:rsid w:val="1AA052D4"/>
    <w:rsid w:val="1BB802EC"/>
    <w:rsid w:val="21DD055C"/>
    <w:rsid w:val="21F037E0"/>
    <w:rsid w:val="24A40721"/>
    <w:rsid w:val="289B7A47"/>
    <w:rsid w:val="2A0F78AA"/>
    <w:rsid w:val="2ED63294"/>
    <w:rsid w:val="35ED1B53"/>
    <w:rsid w:val="3C697353"/>
    <w:rsid w:val="41160C6F"/>
    <w:rsid w:val="46DE4C11"/>
    <w:rsid w:val="4709514D"/>
    <w:rsid w:val="4A3E52D4"/>
    <w:rsid w:val="4AE21EDB"/>
    <w:rsid w:val="4CAF5C8F"/>
    <w:rsid w:val="4D356E79"/>
    <w:rsid w:val="4DBF2F4E"/>
    <w:rsid w:val="4FD43454"/>
    <w:rsid w:val="57954948"/>
    <w:rsid w:val="5BA07421"/>
    <w:rsid w:val="5D9612DF"/>
    <w:rsid w:val="5E3A13AE"/>
    <w:rsid w:val="5EB60EAF"/>
    <w:rsid w:val="60136091"/>
    <w:rsid w:val="62590259"/>
    <w:rsid w:val="65120394"/>
    <w:rsid w:val="65137657"/>
    <w:rsid w:val="68A93700"/>
    <w:rsid w:val="69373049"/>
    <w:rsid w:val="6B2E5AE0"/>
    <w:rsid w:val="71846BDD"/>
    <w:rsid w:val="768A4D0B"/>
    <w:rsid w:val="786C5324"/>
    <w:rsid w:val="7882787F"/>
    <w:rsid w:val="792B3420"/>
    <w:rsid w:val="79305987"/>
    <w:rsid w:val="7C9320BA"/>
    <w:rsid w:val="7CF44434"/>
    <w:rsid w:val="7FCE77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2022-02-18T02:35:00Z</cp:lastPrinted>
  <dcterms:modified xsi:type="dcterms:W3CDTF">2022-02-24T08:12:36Z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