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b/>
          <w:bCs/>
          <w:sz w:val="52"/>
          <w:szCs w:val="52"/>
        </w:rPr>
      </w:pPr>
      <w:r>
        <w:rPr>
          <w:rFonts w:hint="eastAsia"/>
          <w:b/>
          <w:bCs/>
          <w:sz w:val="52"/>
          <w:szCs w:val="52"/>
        </w:rPr>
        <w:t>2022年三亚市健康教育所</w:t>
      </w:r>
    </w:p>
    <w:p>
      <w:pPr>
        <w:jc w:val="center"/>
        <w:rPr>
          <w:b/>
          <w:bCs/>
          <w:sz w:val="52"/>
          <w:szCs w:val="52"/>
        </w:rPr>
      </w:pPr>
      <w:r>
        <w:rPr>
          <w:rFonts w:hint="eastAsia"/>
          <w:b/>
          <w:bCs/>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三亚市健康教育所概况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三亚市健康教育所预算表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三亚市健康教育所预算情况说明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三亚市健康教育所概况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autoSpaceDE w:val="0"/>
        <w:spacing w:line="560" w:lineRule="exact"/>
        <w:ind w:firstLine="640" w:firstLineChars="200"/>
        <w:jc w:val="left"/>
        <w:rPr>
          <w:rFonts w:ascii="Times New Roman" w:hAnsi="Times New Roman" w:eastAsia="仿宋_GB2312"/>
          <w:sz w:val="32"/>
          <w:szCs w:val="32"/>
        </w:rPr>
      </w:pPr>
      <w:r>
        <w:rPr>
          <w:rFonts w:ascii="仿宋_GB2312" w:hAnsi="Times New Roman" w:eastAsia="仿宋_GB2312"/>
          <w:sz w:val="32"/>
          <w:szCs w:val="32"/>
        </w:rPr>
        <w:t>（一）</w:t>
      </w:r>
      <w:r>
        <w:rPr>
          <w:rFonts w:hint="eastAsia" w:ascii="仿宋_GB2312" w:hAnsi="Times New Roman" w:eastAsia="仿宋_GB2312"/>
          <w:sz w:val="32"/>
          <w:szCs w:val="32"/>
        </w:rPr>
        <w:t>组织开展全市健康教育和计生宣传教育理论、方法、策略与政策研究和健康教育监测评估，为政府制订相关的法律、法规、部门规章和技术规范等提供咨询及政策建议</w:t>
      </w:r>
      <w:r>
        <w:rPr>
          <w:rFonts w:ascii="仿宋_GB2312" w:hAnsi="Times New Roman" w:eastAsia="仿宋_GB2312"/>
          <w:sz w:val="32"/>
          <w:szCs w:val="32"/>
        </w:rPr>
        <w:t>。</w:t>
      </w:r>
    </w:p>
    <w:p>
      <w:pPr>
        <w:autoSpaceDE w:val="0"/>
        <w:spacing w:line="560" w:lineRule="exact"/>
        <w:ind w:firstLine="480" w:firstLineChars="150"/>
        <w:jc w:val="left"/>
        <w:rPr>
          <w:rFonts w:ascii="Times New Roman" w:hAnsi="Times New Roman" w:eastAsia="仿宋_GB2312"/>
          <w:sz w:val="32"/>
          <w:szCs w:val="32"/>
        </w:rPr>
      </w:pPr>
      <w:r>
        <w:rPr>
          <w:rFonts w:ascii="仿宋_GB2312" w:hAnsi="Times New Roman" w:eastAsia="仿宋_GB2312"/>
          <w:sz w:val="32"/>
          <w:szCs w:val="32"/>
        </w:rPr>
        <w:t>（二）</w:t>
      </w:r>
      <w:r>
        <w:rPr>
          <w:rFonts w:hint="eastAsia" w:ascii="Times New Roman" w:hAnsi="Times New Roman" w:eastAsia="仿宋_GB2312"/>
          <w:sz w:val="32"/>
          <w:szCs w:val="32"/>
        </w:rPr>
        <w:t>负责全市健康教育和计生宣传教育的技术支持；负责拟订全市健康教育和计生宣传教育工作的技术规范，协助组织制定规划、计划和考核评估标准，并进行质量和效果评估。</w:t>
      </w:r>
    </w:p>
    <w:p>
      <w:pPr>
        <w:autoSpaceDE w:val="0"/>
        <w:spacing w:line="560" w:lineRule="exact"/>
        <w:ind w:firstLine="480" w:firstLineChars="150"/>
        <w:jc w:val="left"/>
        <w:rPr>
          <w:rFonts w:ascii="Times New Roman" w:hAnsi="Times New Roman" w:eastAsia="仿宋_GB2312"/>
          <w:sz w:val="32"/>
          <w:szCs w:val="32"/>
        </w:rPr>
      </w:pPr>
      <w:r>
        <w:rPr>
          <w:rFonts w:ascii="仿宋_GB2312" w:hAnsi="Times New Roman" w:eastAsia="仿宋_GB2312"/>
          <w:sz w:val="32"/>
          <w:szCs w:val="32"/>
        </w:rPr>
        <w:t>（三）</w:t>
      </w:r>
      <w:r>
        <w:rPr>
          <w:rFonts w:hint="eastAsia" w:ascii="Times New Roman" w:hAnsi="Times New Roman" w:eastAsia="仿宋_GB2312"/>
          <w:sz w:val="32"/>
          <w:szCs w:val="32"/>
        </w:rPr>
        <w:t>负责健全全市健康教育网络并组织开展各项健康教育和健康促进工作。</w:t>
      </w:r>
    </w:p>
    <w:p>
      <w:pPr>
        <w:autoSpaceDE w:val="0"/>
        <w:spacing w:line="560" w:lineRule="exact"/>
        <w:ind w:firstLine="480" w:firstLineChars="150"/>
        <w:jc w:val="left"/>
        <w:rPr>
          <w:rFonts w:ascii="Times New Roman" w:hAnsi="Times New Roman" w:eastAsia="仿宋_GB2312"/>
          <w:sz w:val="32"/>
          <w:szCs w:val="32"/>
        </w:rPr>
      </w:pPr>
      <w:r>
        <w:rPr>
          <w:rFonts w:ascii="仿宋_GB2312" w:hAnsi="Times New Roman" w:eastAsia="仿宋_GB2312"/>
          <w:sz w:val="32"/>
          <w:szCs w:val="32"/>
        </w:rPr>
        <w:t>（四）</w:t>
      </w:r>
      <w:r>
        <w:rPr>
          <w:rFonts w:hint="eastAsia" w:ascii="Times New Roman" w:hAnsi="Times New Roman" w:eastAsia="仿宋_GB2312"/>
          <w:sz w:val="32"/>
          <w:szCs w:val="32"/>
        </w:rPr>
        <w:t>指导各区开展城市社区、农村社区、医院、学校、机关企事业单位等行业和公共场所（重点场所）健康教育工作；指导各区开展突发公共卫生事件和应急事件的健康教育工作。</w:t>
      </w:r>
    </w:p>
    <w:p>
      <w:pPr>
        <w:autoSpaceDE w:val="0"/>
        <w:spacing w:line="560" w:lineRule="exact"/>
        <w:ind w:firstLine="640" w:firstLineChars="200"/>
        <w:jc w:val="left"/>
        <w:rPr>
          <w:rFonts w:ascii="Times New Roman" w:hAnsi="Times New Roman" w:eastAsia="仿宋_GB2312"/>
          <w:sz w:val="32"/>
          <w:szCs w:val="32"/>
        </w:rPr>
      </w:pPr>
      <w:r>
        <w:rPr>
          <w:rFonts w:ascii="仿宋_GB2312" w:hAnsi="Times New Roman" w:eastAsia="仿宋_GB2312"/>
          <w:sz w:val="32"/>
          <w:szCs w:val="32"/>
        </w:rPr>
        <w:t>（五）</w:t>
      </w:r>
      <w:r>
        <w:rPr>
          <w:rFonts w:hint="eastAsia" w:ascii="Times New Roman" w:hAnsi="Times New Roman" w:eastAsia="仿宋_GB2312"/>
          <w:sz w:val="32"/>
          <w:szCs w:val="32"/>
        </w:rPr>
        <w:t>组织开展健康教育和计生广播、电视专题栏目的制作和播出，负责全市健康教育和计生广播、电视专题栏目发展趋势的统计分析与对策研究；开展全市健康教育和计生图文宣传品的策划、开发与制作。</w:t>
      </w:r>
    </w:p>
    <w:p>
      <w:pPr>
        <w:autoSpaceDE w:val="0"/>
        <w:spacing w:line="560" w:lineRule="exact"/>
        <w:ind w:firstLine="480" w:firstLineChars="150"/>
        <w:jc w:val="left"/>
        <w:rPr>
          <w:rFonts w:ascii="仿宋_GB2312" w:hAnsi="Times New Roman" w:eastAsia="仿宋_GB2312"/>
          <w:sz w:val="32"/>
          <w:szCs w:val="32"/>
        </w:rPr>
      </w:pPr>
      <w:r>
        <w:rPr>
          <w:rFonts w:ascii="仿宋_GB2312" w:hAnsi="Times New Roman" w:eastAsia="仿宋_GB2312"/>
          <w:sz w:val="32"/>
          <w:szCs w:val="32"/>
        </w:rPr>
        <w:t>（</w:t>
      </w:r>
      <w:r>
        <w:rPr>
          <w:rFonts w:hint="eastAsia" w:ascii="仿宋_GB2312" w:hAnsi="Times New Roman" w:eastAsia="仿宋_GB2312"/>
          <w:sz w:val="32"/>
          <w:szCs w:val="32"/>
        </w:rPr>
        <w:t>六</w:t>
      </w:r>
      <w:r>
        <w:rPr>
          <w:rFonts w:ascii="仿宋_GB2312" w:hAnsi="Times New Roman" w:eastAsia="仿宋_GB2312"/>
          <w:sz w:val="32"/>
          <w:szCs w:val="32"/>
        </w:rPr>
        <w:t>）</w:t>
      </w:r>
      <w:r>
        <w:rPr>
          <w:rFonts w:hint="eastAsia" w:ascii="仿宋_GB2312" w:hAnsi="Times New Roman" w:eastAsia="仿宋_GB2312"/>
          <w:sz w:val="32"/>
          <w:szCs w:val="32"/>
        </w:rPr>
        <w:t>组织开展公益性的健康教育和计生传播项目的策划、组织与实施，开展健康教育和计生社会倡导活动。</w:t>
      </w:r>
    </w:p>
    <w:p>
      <w:pPr>
        <w:autoSpaceDE w:val="0"/>
        <w:spacing w:line="560" w:lineRule="exact"/>
        <w:ind w:firstLine="480" w:firstLineChars="150"/>
        <w:jc w:val="left"/>
        <w:rPr>
          <w:rFonts w:ascii="仿宋_GB2312" w:hAnsi="Times New Roman" w:eastAsia="仿宋_GB2312"/>
          <w:sz w:val="32"/>
          <w:szCs w:val="32"/>
        </w:rPr>
      </w:pPr>
      <w:r>
        <w:rPr>
          <w:rFonts w:ascii="仿宋_GB2312" w:hAnsi="Times New Roman" w:eastAsia="仿宋_GB2312"/>
          <w:sz w:val="32"/>
          <w:szCs w:val="32"/>
        </w:rPr>
        <w:t>（</w:t>
      </w:r>
      <w:r>
        <w:rPr>
          <w:rFonts w:hint="eastAsia" w:ascii="仿宋_GB2312" w:hAnsi="Times New Roman" w:eastAsia="仿宋_GB2312"/>
          <w:sz w:val="32"/>
          <w:szCs w:val="32"/>
        </w:rPr>
        <w:t>七</w:t>
      </w:r>
      <w:r>
        <w:rPr>
          <w:rFonts w:ascii="仿宋_GB2312" w:hAnsi="Times New Roman" w:eastAsia="仿宋_GB2312"/>
          <w:sz w:val="32"/>
          <w:szCs w:val="32"/>
        </w:rPr>
        <w:t>）</w:t>
      </w:r>
      <w:r>
        <w:rPr>
          <w:rFonts w:hint="eastAsia" w:ascii="仿宋_GB2312" w:hAnsi="Times New Roman" w:eastAsia="仿宋_GB2312"/>
          <w:sz w:val="32"/>
          <w:szCs w:val="32"/>
        </w:rPr>
        <w:t>组织制作健康教育和计生有关影视节目，建立文图章像资料库，提供视、章、图、文等为一体的宣传展示平台和服务，开展互联网和新媒体宣传。</w:t>
      </w:r>
    </w:p>
    <w:p>
      <w:pPr>
        <w:autoSpaceDE w:val="0"/>
        <w:spacing w:line="560" w:lineRule="exact"/>
        <w:ind w:firstLine="480" w:firstLineChars="150"/>
        <w:jc w:val="left"/>
        <w:rPr>
          <w:rFonts w:ascii="仿宋_GB2312" w:hAnsi="Times New Roman" w:eastAsia="仿宋_GB2312"/>
          <w:sz w:val="32"/>
          <w:szCs w:val="32"/>
        </w:rPr>
      </w:pPr>
      <w:r>
        <w:rPr>
          <w:rFonts w:ascii="仿宋_GB2312" w:hAnsi="Times New Roman" w:eastAsia="仿宋_GB2312"/>
          <w:sz w:val="32"/>
          <w:szCs w:val="32"/>
        </w:rPr>
        <w:t>（</w:t>
      </w:r>
      <w:r>
        <w:rPr>
          <w:rFonts w:hint="eastAsia" w:ascii="仿宋_GB2312" w:hAnsi="Times New Roman" w:eastAsia="仿宋_GB2312"/>
          <w:sz w:val="32"/>
          <w:szCs w:val="32"/>
        </w:rPr>
        <w:t>八</w:t>
      </w:r>
      <w:r>
        <w:rPr>
          <w:rFonts w:ascii="仿宋_GB2312" w:hAnsi="Times New Roman" w:eastAsia="仿宋_GB2312"/>
          <w:sz w:val="32"/>
          <w:szCs w:val="32"/>
        </w:rPr>
        <w:t>）</w:t>
      </w:r>
      <w:r>
        <w:rPr>
          <w:rFonts w:hint="eastAsia" w:ascii="仿宋_GB2312" w:hAnsi="Times New Roman" w:eastAsia="仿宋_GB2312"/>
          <w:sz w:val="32"/>
          <w:szCs w:val="32"/>
        </w:rPr>
        <w:t>组织开展全市健康教育和计生宣传教育工作相关领域专业技术培训，加强健康教育和计生宣传教育工作能力建设。</w:t>
      </w:r>
    </w:p>
    <w:p>
      <w:pPr>
        <w:autoSpaceDE w:val="0"/>
        <w:spacing w:line="560" w:lineRule="exact"/>
        <w:ind w:firstLine="480" w:firstLineChars="150"/>
        <w:jc w:val="left"/>
        <w:rPr>
          <w:rFonts w:ascii="仿宋_GB2312" w:hAnsi="Times New Roman" w:eastAsia="仿宋_GB2312"/>
          <w:sz w:val="32"/>
          <w:szCs w:val="32"/>
        </w:rPr>
      </w:pPr>
      <w:r>
        <w:rPr>
          <w:rFonts w:ascii="仿宋_GB2312" w:hAnsi="Times New Roman" w:eastAsia="仿宋_GB2312"/>
          <w:sz w:val="32"/>
          <w:szCs w:val="32"/>
        </w:rPr>
        <w:t>（</w:t>
      </w:r>
      <w:r>
        <w:rPr>
          <w:rFonts w:hint="eastAsia" w:ascii="仿宋_GB2312" w:hAnsi="Times New Roman" w:eastAsia="仿宋_GB2312"/>
          <w:sz w:val="32"/>
          <w:szCs w:val="32"/>
        </w:rPr>
        <w:t>九</w:t>
      </w:r>
      <w:r>
        <w:rPr>
          <w:rFonts w:ascii="仿宋_GB2312" w:hAnsi="Times New Roman" w:eastAsia="仿宋_GB2312"/>
          <w:sz w:val="32"/>
          <w:szCs w:val="32"/>
        </w:rPr>
        <w:t>）</w:t>
      </w:r>
      <w:r>
        <w:rPr>
          <w:rFonts w:hint="eastAsia" w:ascii="仿宋_GB2312" w:hAnsi="Times New Roman" w:eastAsia="仿宋_GB2312"/>
          <w:sz w:val="32"/>
          <w:szCs w:val="32"/>
        </w:rPr>
        <w:t>组织开展全市健康教育和计生宣传教育领域的对外宣传、国际交流与合作。</w:t>
      </w:r>
    </w:p>
    <w:p>
      <w:pPr>
        <w:autoSpaceDE w:val="0"/>
        <w:spacing w:line="560" w:lineRule="exact"/>
        <w:ind w:firstLine="480" w:firstLineChars="150"/>
        <w:jc w:val="left"/>
        <w:rPr>
          <w:rFonts w:ascii="仿宋_GB2312" w:hAnsi="Times New Roman" w:eastAsia="仿宋_GB2312"/>
          <w:sz w:val="32"/>
          <w:szCs w:val="32"/>
        </w:rPr>
      </w:pPr>
      <w:r>
        <w:rPr>
          <w:rFonts w:hint="eastAsia" w:ascii="仿宋_GB2312" w:hAnsi="Times New Roman" w:eastAsia="仿宋_GB2312"/>
          <w:sz w:val="32"/>
          <w:szCs w:val="32"/>
        </w:rPr>
        <w:t>（十）承办上级主管部门交办的其他工作。</w:t>
      </w:r>
    </w:p>
    <w:p>
      <w:pPr>
        <w:ind w:firstLine="480" w:firstLineChars="150"/>
        <w:rPr>
          <w:rFonts w:ascii="黑体" w:hAnsi="黑体" w:eastAsia="黑体"/>
          <w:sz w:val="32"/>
          <w:szCs w:val="32"/>
        </w:rPr>
      </w:pPr>
      <w:r>
        <w:rPr>
          <w:rFonts w:ascii="仿宋_GB2312" w:hAnsi="Times New Roman" w:eastAsia="仿宋_GB2312"/>
          <w:sz w:val="32"/>
          <w:szCs w:val="32"/>
        </w:rPr>
        <w:t>（</w:t>
      </w:r>
      <w:r>
        <w:rPr>
          <w:rFonts w:hint="eastAsia" w:ascii="仿宋_GB2312" w:hAnsi="Times New Roman" w:eastAsia="仿宋_GB2312"/>
          <w:sz w:val="32"/>
          <w:szCs w:val="32"/>
        </w:rPr>
        <w:t>十一</w:t>
      </w:r>
      <w:r>
        <w:rPr>
          <w:rFonts w:ascii="仿宋_GB2312" w:hAnsi="Times New Roman" w:eastAsia="仿宋_GB2312"/>
          <w:sz w:val="32"/>
          <w:szCs w:val="32"/>
        </w:rPr>
        <w:t>）</w:t>
      </w:r>
      <w:r>
        <w:rPr>
          <w:rFonts w:hint="eastAsia" w:ascii="仿宋_GB2312" w:hAnsi="Times New Roman" w:eastAsia="仿宋_GB2312"/>
          <w:sz w:val="32"/>
          <w:szCs w:val="32"/>
        </w:rPr>
        <w:t>三亚市健康教育所无内设机构</w:t>
      </w:r>
      <w:r>
        <w:rPr>
          <w:rFonts w:hint="eastAsia" w:ascii="黑体" w:hAnsi="黑体" w:eastAsia="黑体"/>
          <w:sz w:val="32"/>
          <w:szCs w:val="32"/>
        </w:rPr>
        <w:t>。</w:t>
      </w:r>
    </w:p>
    <w:p>
      <w:pPr>
        <w:ind w:firstLine="640" w:firstLineChars="200"/>
        <w:rPr>
          <w:rFonts w:ascii="黑体" w:hAnsi="黑体" w:eastAsia="黑体"/>
          <w:sz w:val="32"/>
          <w:szCs w:val="32"/>
        </w:rPr>
      </w:pPr>
    </w:p>
    <w:p>
      <w:pPr>
        <w:ind w:firstLine="640" w:firstLineChars="200"/>
        <w:rPr>
          <w:rFonts w:ascii="黑体" w:hAnsi="黑体" w:eastAsia="黑体"/>
          <w:sz w:val="32"/>
          <w:szCs w:val="32"/>
        </w:rPr>
      </w:pPr>
    </w:p>
    <w:p>
      <w:pPr>
        <w:ind w:firstLine="640" w:firstLineChars="200"/>
        <w:rPr>
          <w:rFonts w:ascii="黑体" w:hAnsi="黑体" w:eastAsia="黑体"/>
          <w:sz w:val="32"/>
          <w:szCs w:val="32"/>
        </w:rPr>
      </w:pPr>
    </w:p>
    <w:p>
      <w:pPr>
        <w:ind w:firstLine="640" w:firstLineChars="200"/>
        <w:rPr>
          <w:rFonts w:ascii="黑体" w:hAnsi="黑体" w:eastAsia="黑体"/>
          <w:sz w:val="32"/>
          <w:szCs w:val="32"/>
        </w:rPr>
      </w:pPr>
    </w:p>
    <w:p>
      <w:pPr>
        <w:ind w:firstLine="640" w:firstLineChars="200"/>
        <w:rPr>
          <w:rFonts w:ascii="黑体" w:hAnsi="黑体" w:eastAsia="黑体"/>
          <w:sz w:val="32"/>
          <w:szCs w:val="32"/>
        </w:rPr>
      </w:pPr>
    </w:p>
    <w:p>
      <w:pPr>
        <w:ind w:firstLine="640" w:firstLineChars="200"/>
        <w:rPr>
          <w:rFonts w:ascii="黑体" w:hAnsi="黑体" w:eastAsia="黑体"/>
          <w:sz w:val="32"/>
          <w:szCs w:val="32"/>
        </w:rPr>
      </w:pPr>
    </w:p>
    <w:p>
      <w:pPr>
        <w:ind w:firstLine="640" w:firstLineChars="200"/>
        <w:rPr>
          <w:rFonts w:ascii="黑体" w:hAnsi="黑体" w:eastAsia="黑体"/>
          <w:sz w:val="32"/>
          <w:szCs w:val="32"/>
        </w:rPr>
      </w:pPr>
    </w:p>
    <w:p>
      <w:pPr>
        <w:ind w:firstLine="640" w:firstLineChars="200"/>
        <w:rPr>
          <w:rFonts w:ascii="黑体" w:hAnsi="黑体" w:eastAsia="黑体"/>
          <w:sz w:val="32"/>
          <w:szCs w:val="32"/>
        </w:rPr>
      </w:pPr>
    </w:p>
    <w:p>
      <w:pPr>
        <w:ind w:firstLine="640" w:firstLineChars="200"/>
        <w:rPr>
          <w:rFonts w:ascii="黑体" w:hAnsi="黑体" w:eastAsia="黑体"/>
          <w:sz w:val="32"/>
          <w:szCs w:val="32"/>
        </w:rPr>
      </w:pPr>
    </w:p>
    <w:p/>
    <w:p>
      <w:pPr>
        <w:ind w:firstLine="640" w:firstLineChars="200"/>
        <w:rPr>
          <w:rFonts w:ascii="黑体" w:hAnsi="黑体" w:eastAsia="黑体"/>
          <w:sz w:val="32"/>
          <w:szCs w:val="32"/>
        </w:rPr>
      </w:pPr>
    </w:p>
    <w:p>
      <w:pPr>
        <w:ind w:firstLine="640" w:firstLineChars="200"/>
        <w:rPr>
          <w:rFonts w:ascii="黑体" w:hAnsi="黑体" w:eastAsia="黑体"/>
          <w:sz w:val="32"/>
          <w:szCs w:val="32"/>
        </w:rPr>
      </w:pPr>
    </w:p>
    <w:p>
      <w:pPr>
        <w:ind w:firstLine="640" w:firstLineChars="200"/>
        <w:rPr>
          <w:rFonts w:ascii="黑体" w:hAnsi="黑体" w:eastAsia="黑体"/>
          <w:sz w:val="32"/>
          <w:szCs w:val="32"/>
        </w:rPr>
      </w:pPr>
    </w:p>
    <w:p>
      <w:pPr>
        <w:ind w:firstLine="640" w:firstLineChars="200"/>
        <w:rPr>
          <w:rFonts w:ascii="黑体" w:hAnsi="黑体" w:eastAsia="黑体"/>
          <w:sz w:val="32"/>
          <w:szCs w:val="32"/>
        </w:rPr>
      </w:pP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第二部分 三亚市健康教育所预算表</w:t>
      </w:r>
    </w:p>
    <w:p>
      <w:pPr>
        <w:pStyle w:val="6"/>
        <w:numPr>
          <w:ilvl w:val="255"/>
          <w:numId w:val="0"/>
        </w:numPr>
        <w:rPr>
          <w:rFonts w:ascii="仿宋_GB2312" w:hAnsi="仿宋_GB2312" w:eastAsia="仿宋_GB2312" w:cs="仿宋_GB2312"/>
          <w:sz w:val="32"/>
          <w:szCs w:val="32"/>
        </w:rPr>
      </w:pPr>
      <w:r>
        <w:rPr>
          <w:rFonts w:hint="eastAsia" w:ascii="仿宋_GB2312" w:hAnsi="仿宋_GB2312" w:eastAsia="仿宋_GB2312" w:cs="仿宋_GB2312"/>
          <w:sz w:val="32"/>
          <w:szCs w:val="32"/>
        </w:rPr>
        <w:t>一、财政拨款收支总表</w:t>
      </w:r>
    </w:p>
    <w:p>
      <w:pPr>
        <w:pStyle w:val="6"/>
        <w:numPr>
          <w:ilvl w:val="255"/>
          <w:numId w:val="0"/>
        </w:numPr>
        <w:rPr>
          <w:rFonts w:ascii="仿宋_GB2312" w:hAnsi="仿宋_GB2312" w:eastAsia="仿宋_GB2312" w:cs="仿宋_GB2312"/>
          <w:sz w:val="32"/>
          <w:szCs w:val="32"/>
        </w:rPr>
      </w:pPr>
      <w:r>
        <w:rPr>
          <w:rFonts w:hint="eastAsia" w:ascii="仿宋_GB2312" w:hAnsi="仿宋_GB2312" w:eastAsia="仿宋_GB2312" w:cs="仿宋_GB2312"/>
          <w:sz w:val="32"/>
          <w:szCs w:val="32"/>
        </w:rPr>
        <w:t>二、一般公共预算支出表</w:t>
      </w:r>
    </w:p>
    <w:p>
      <w:pPr>
        <w:pStyle w:val="6"/>
        <w:numPr>
          <w:ilvl w:val="255"/>
          <w:numId w:val="0"/>
        </w:numPr>
        <w:rPr>
          <w:rFonts w:ascii="仿宋_GB2312" w:hAnsi="仿宋_GB2312" w:eastAsia="仿宋_GB2312" w:cs="仿宋_GB2312"/>
          <w:sz w:val="32"/>
          <w:szCs w:val="32"/>
        </w:rPr>
      </w:pPr>
      <w:r>
        <w:rPr>
          <w:rFonts w:hint="eastAsia" w:ascii="仿宋_GB2312" w:hAnsi="仿宋_GB2312" w:eastAsia="仿宋_GB2312" w:cs="仿宋_GB2312"/>
          <w:sz w:val="32"/>
          <w:szCs w:val="32"/>
        </w:rPr>
        <w:t>三、一般公共预算基本支出表</w:t>
      </w:r>
    </w:p>
    <w:p>
      <w:pPr>
        <w:pStyle w:val="6"/>
        <w:numPr>
          <w:ilvl w:val="255"/>
          <w:numId w:val="0"/>
        </w:numPr>
        <w:rPr>
          <w:rFonts w:ascii="仿宋_GB2312" w:hAnsi="仿宋_GB2312" w:eastAsia="仿宋_GB2312" w:cs="仿宋_GB2312"/>
          <w:sz w:val="32"/>
          <w:szCs w:val="32"/>
        </w:rPr>
      </w:pPr>
      <w:r>
        <w:rPr>
          <w:rFonts w:hint="eastAsia" w:ascii="仿宋_GB2312" w:hAnsi="仿宋_GB2312" w:eastAsia="仿宋_GB2312" w:cs="仿宋_GB2312"/>
          <w:sz w:val="32"/>
          <w:szCs w:val="32"/>
        </w:rPr>
        <w:t>四、一般公共预算“三公”经费支出表</w:t>
      </w:r>
    </w:p>
    <w:p>
      <w:pPr>
        <w:pStyle w:val="6"/>
        <w:numPr>
          <w:ilvl w:val="255"/>
          <w:numId w:val="0"/>
        </w:numPr>
        <w:rPr>
          <w:rFonts w:ascii="仿宋_GB2312" w:hAnsi="仿宋_GB2312" w:eastAsia="仿宋_GB2312" w:cs="仿宋_GB2312"/>
          <w:sz w:val="32"/>
          <w:szCs w:val="32"/>
        </w:rPr>
      </w:pPr>
      <w:r>
        <w:rPr>
          <w:rFonts w:hint="eastAsia" w:ascii="仿宋_GB2312" w:hAnsi="仿宋_GB2312" w:eastAsia="仿宋_GB2312" w:cs="仿宋_GB2312"/>
          <w:sz w:val="32"/>
          <w:szCs w:val="32"/>
        </w:rPr>
        <w:t>五、政府性基金预算支出表。</w:t>
      </w:r>
    </w:p>
    <w:p>
      <w:pPr>
        <w:pStyle w:val="6"/>
        <w:numPr>
          <w:ilvl w:val="255"/>
          <w:numId w:val="0"/>
        </w:numPr>
        <w:rPr>
          <w:rFonts w:ascii="仿宋_GB2312" w:hAnsi="仿宋_GB2312" w:eastAsia="仿宋_GB2312" w:cs="仿宋_GB2312"/>
          <w:sz w:val="32"/>
          <w:szCs w:val="32"/>
        </w:rPr>
      </w:pPr>
      <w:r>
        <w:rPr>
          <w:rFonts w:hint="eastAsia" w:ascii="仿宋_GB2312" w:hAnsi="仿宋_GB2312" w:eastAsia="仿宋_GB2312" w:cs="仿宋_GB2312"/>
          <w:sz w:val="32"/>
          <w:szCs w:val="32"/>
        </w:rPr>
        <w:t>六、政府性基金预算“三公”经费支出表</w:t>
      </w:r>
    </w:p>
    <w:p>
      <w:pPr>
        <w:pStyle w:val="6"/>
        <w:numPr>
          <w:ilvl w:val="255"/>
          <w:numId w:val="0"/>
        </w:numPr>
        <w:jc w:val="left"/>
        <w:rPr>
          <w:rFonts w:ascii="黑体" w:hAnsi="黑体" w:eastAsia="黑体"/>
          <w:sz w:val="32"/>
          <w:szCs w:val="32"/>
        </w:rPr>
      </w:pPr>
      <w:r>
        <w:rPr>
          <w:rFonts w:hint="eastAsia" w:ascii="仿宋_GB2312" w:hAnsi="仿宋_GB2312" w:eastAsia="仿宋_GB2312" w:cs="仿宋_GB2312"/>
          <w:sz w:val="32"/>
          <w:szCs w:val="32"/>
        </w:rPr>
        <w:t>七、单位收支总表</w:t>
      </w:r>
      <w:bookmarkStart w:id="0" w:name="_GoBack"/>
      <w:bookmarkEnd w:id="0"/>
    </w:p>
    <w:p>
      <w:pPr>
        <w:pStyle w:val="6"/>
        <w:numPr>
          <w:ilvl w:val="255"/>
          <w:numId w:val="0"/>
        </w:numPr>
        <w:jc w:val="left"/>
        <w:rPr>
          <w:rFonts w:ascii="黑体" w:hAnsi="黑体" w:eastAsia="黑体"/>
          <w:sz w:val="32"/>
          <w:szCs w:val="32"/>
        </w:rPr>
      </w:pPr>
      <w:r>
        <w:rPr>
          <w:rFonts w:hint="eastAsia" w:ascii="仿宋_GB2312" w:hAnsi="仿宋_GB2312" w:eastAsia="仿宋_GB2312" w:cs="仿宋_GB2312"/>
          <w:sz w:val="32"/>
          <w:szCs w:val="32"/>
        </w:rPr>
        <w:t>八、单位收入总表</w:t>
      </w:r>
    </w:p>
    <w:p>
      <w:pPr>
        <w:pStyle w:val="6"/>
        <w:numPr>
          <w:ilvl w:val="255"/>
          <w:numId w:val="0"/>
        </w:numPr>
        <w:jc w:val="left"/>
        <w:rPr>
          <w:rFonts w:ascii="黑体" w:hAnsi="黑体" w:eastAsia="黑体"/>
          <w:sz w:val="32"/>
          <w:szCs w:val="32"/>
        </w:rPr>
      </w:pPr>
      <w:r>
        <w:rPr>
          <w:rFonts w:hint="eastAsia" w:ascii="仿宋_GB2312" w:hAnsi="仿宋_GB2312" w:eastAsia="仿宋_GB2312" w:cs="仿宋_GB2312"/>
          <w:sz w:val="32"/>
          <w:szCs w:val="32"/>
        </w:rPr>
        <w:t>九、单位支出总表</w:t>
      </w:r>
    </w:p>
    <w:p>
      <w:pPr>
        <w:pStyle w:val="6"/>
        <w:numPr>
          <w:ilvl w:val="255"/>
          <w:numId w:val="0"/>
        </w:numPr>
        <w:jc w:val="left"/>
        <w:rPr>
          <w:rFonts w:ascii="黑体" w:hAnsi="黑体" w:eastAsia="黑体"/>
          <w:sz w:val="32"/>
          <w:szCs w:val="32"/>
        </w:rPr>
      </w:pPr>
      <w:r>
        <w:rPr>
          <w:rFonts w:hint="eastAsia" w:ascii="仿宋_GB2312" w:hAnsi="仿宋_GB2312" w:eastAsia="仿宋_GB2312" w:cs="仿宋_GB2312"/>
          <w:sz w:val="32"/>
          <w:szCs w:val="32"/>
        </w:rPr>
        <w:t>十、项目支出绩效信息表</w:t>
      </w:r>
    </w:p>
    <w:p>
      <w:pPr>
        <w:pStyle w:val="6"/>
        <w:numPr>
          <w:ilvl w:val="255"/>
          <w:numId w:val="0"/>
        </w:numPr>
        <w:jc w:val="left"/>
        <w:rPr>
          <w:rFonts w:ascii="黑体" w:hAnsi="黑体" w:eastAsia="黑体"/>
          <w:sz w:val="32"/>
          <w:szCs w:val="32"/>
        </w:rPr>
      </w:pPr>
    </w:p>
    <w:p>
      <w:pPr>
        <w:ind w:firstLine="480" w:firstLineChars="150"/>
        <w:jc w:val="center"/>
        <w:rPr>
          <w:rFonts w:ascii="黑体" w:hAnsi="黑体" w:eastAsia="黑体"/>
          <w:sz w:val="32"/>
          <w:szCs w:val="32"/>
        </w:rPr>
      </w:pPr>
      <w:r>
        <w:rPr>
          <w:rFonts w:hint="eastAsia" w:ascii="黑体" w:hAnsi="黑体" w:eastAsia="黑体"/>
          <w:sz w:val="32"/>
          <w:szCs w:val="32"/>
        </w:rPr>
        <w:t>第三部分   三亚市健康教育所2022年预算情况说明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一、关于三亚市健康教育所</w:t>
      </w:r>
      <w:r>
        <w:rPr>
          <w:rFonts w:hint="eastAsia" w:ascii="仿宋_GB2312" w:hAnsi="黑体" w:eastAsia="仿宋_GB2312" w:cs="仿宋_GB2312"/>
          <w:sz w:val="32"/>
          <w:szCs w:val="32"/>
        </w:rPr>
        <w:t>2022</w:t>
      </w:r>
      <w:r>
        <w:rPr>
          <w:rFonts w:hint="eastAsia" w:ascii="黑体" w:hAnsi="黑体" w:eastAsia="黑体"/>
          <w:sz w:val="32"/>
          <w:szCs w:val="32"/>
        </w:rPr>
        <w:t>年财政拨款收支预算情况的总体说明</w:t>
      </w:r>
    </w:p>
    <w:p>
      <w:p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三亚市健康教育所2022年财政拨款收支总预算416.48万元。其中，收入总计208.24万元，包括一般公共预算本年收入208.24万元、上年结转0万元，政府性基金预算本年收入0万元、上年结转0万元；支出总计208.24万元，包括一般公共服务支出208.24万元、外交支出0万元、国防支出0万元，结转下年0万元。</w:t>
      </w:r>
    </w:p>
    <w:p>
      <w:pPr>
        <w:ind w:firstLine="640"/>
        <w:jc w:val="left"/>
        <w:rPr>
          <w:rFonts w:ascii="黑体" w:hAnsi="黑体" w:eastAsia="黑体"/>
          <w:sz w:val="32"/>
          <w:szCs w:val="32"/>
        </w:rPr>
      </w:pPr>
      <w:r>
        <w:rPr>
          <w:rFonts w:hint="eastAsia" w:ascii="黑体" w:hAnsi="黑体" w:eastAsia="黑体"/>
          <w:sz w:val="32"/>
          <w:szCs w:val="32"/>
        </w:rPr>
        <w:t>二、关于三亚市健康教育所2022年一般公共预算当年拨款情况说明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三亚市健康教育所2022年一般公共预算当年拨款208.24万元，比上年预算数减少12.23万元，主要是项目支出（健康教育经费）有所减少。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服务（类）支出208.24万元，占100%；其中社会保障和就业支出12.15万元，占5.83%；卫生健康支出186.66万元，占89.64%；住房保障支出9.43万元，占4.53%。外交（类）支出0元，占0%；教育（类）支出0元，占0%；科学技术（类）支出0万元，占0%。</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1.社会保障和就业（类）行政事业单位养老（款）机关事业单位基本养老保险缴费（项）2022年预算数为12.15万元，比上年预算数增加0.42万元，主要是2022年薪资调整，基本养老保险缴费基数增加。</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 卫生健康（类）卫生健康管理事务（款）其他卫生健康管理事务（项）2022年预算数为168.35万元，比上年预算数减少14.58万元，主要是减少金额为单位项目支出；卫生健康（类）行政事业单位医疗（款）事业单位医疗（项）2022年预算数为6.46万元，比上年预算数减少9.77万元，主要是启用新的预算系统，自动生成事业事业单位医疗保险；卫生健康（类）行政事业单位医疗（款）公务员医疗补助（项）2022年预算数为9.86万元，跟上年预算数基本持平。</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3.住房保障（类）住房改革（款）住房公积金（项）2022年预算数为9.43万元，跟上年预算数基本持平。</w:t>
      </w:r>
    </w:p>
    <w:p>
      <w:pPr>
        <w:ind w:firstLine="640"/>
        <w:rPr>
          <w:rFonts w:ascii="黑体" w:hAnsi="黑体" w:eastAsia="黑体"/>
          <w:sz w:val="32"/>
          <w:szCs w:val="32"/>
        </w:rPr>
      </w:pPr>
      <w:r>
        <w:rPr>
          <w:rFonts w:hint="eastAsia" w:ascii="黑体" w:hAnsi="黑体" w:eastAsia="黑体"/>
          <w:sz w:val="32"/>
          <w:szCs w:val="32"/>
        </w:rPr>
        <w:t>三、关于三亚市健康教育所2022年一般公共预算基本支出情况说明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三亚市健康教育所2022年一般公共预算基本支出为171.24万元，其中：</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人员经费161.68万元，主要包括：基本工资、津贴补贴、奖金、社会保障缴费;</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公用经费9.56万元，主要包括：办公费、咨询费、手续费、水费、电费。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ascii="黑体" w:hAnsi="黑体" w:eastAsia="黑体" w:cs="Times New Roman"/>
          <w:sz w:val="32"/>
          <w:shd w:val="clear" w:color="auto" w:fill="FFFFFF"/>
        </w:rPr>
        <w:t>三亚市健康教育所2022年“三公”经费预算情况</w:t>
      </w:r>
      <w:r>
        <w:rPr>
          <w:rFonts w:hint="eastAsia" w:ascii="黑体" w:hAnsi="黑体" w:eastAsia="黑体" w:cs="Times New Roman"/>
          <w:sz w:val="32"/>
          <w:shd w:val="clear" w:color="auto" w:fill="FFFFFF"/>
        </w:rPr>
        <w:t>说明</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zCs w:val="32"/>
        </w:rPr>
        <w:t>（一）三亚市健康教育所2022年一般公共预算“三公”经费预算数为0元</w:t>
      </w:r>
      <w:r>
        <w:rPr>
          <w:rFonts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（二）</w:t>
      </w:r>
      <w:r>
        <w:rPr>
          <w:rFonts w:ascii="Times New Roman" w:hAnsi="Times New Roman" w:eastAsia="仿宋_GB2312" w:cs="Times New Roman"/>
          <w:sz w:val="32"/>
          <w:szCs w:val="32"/>
        </w:rPr>
        <w:t>三亚市健康教育所2022年政府性基金预算“三公”经费预算数为0元，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ascii="黑体" w:hAnsi="黑体" w:eastAsia="黑体" w:cs="Times New Roman"/>
          <w:sz w:val="32"/>
          <w:shd w:val="clear" w:color="auto" w:fill="FFFFFF"/>
        </w:rPr>
        <w:t>三亚市健康教育所2022年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三亚市健康教育所2022年政府性基金预算当年拨款0元。</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ascii="Times New Roman" w:hAnsi="Times New Roman" w:eastAsia="仿宋_GB2312" w:cs="Times New Roman"/>
          <w:sz w:val="32"/>
          <w:szCs w:val="32"/>
        </w:rPr>
        <w:t>科学技术支出（类）支出0元，占0%；文化体育与传媒支出（类）支出0元，占0%；社会保障和就业支出（类）支出0元，占0%；节能环保（类）支出0元，占0%。</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 科学技术支出（类）核电站乏燃料处理处置基金支出（款）乏燃料运输（项）2022年预算数为0元。</w:t>
      </w:r>
    </w:p>
    <w:p>
      <w:pPr>
        <w:ind w:firstLine="640" w:firstLineChars="200"/>
        <w:rPr>
          <w:rFonts w:ascii="黑体" w:hAnsi="黑体" w:eastAsia="黑体" w:cs="Times New Roman"/>
          <w:sz w:val="32"/>
          <w:shd w:val="clear" w:color="auto" w:fill="FFFFFF"/>
        </w:rPr>
      </w:pPr>
      <w:r>
        <w:rPr>
          <w:rFonts w:ascii="Times New Roman" w:hAnsi="Times New Roman" w:eastAsia="仿宋_GB2312" w:cs="Times New Roman"/>
          <w:sz w:val="32"/>
          <w:szCs w:val="32"/>
        </w:rPr>
        <w:t>2. 科学技术支出（类）核电站乏燃料处理处置基金支出（款）乏燃料离堆贮存（项）2022年预算数为0元。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ascii="黑体" w:hAnsi="黑体" w:eastAsia="黑体" w:cs="Times New Roman"/>
          <w:sz w:val="32"/>
          <w:shd w:val="clear" w:color="auto" w:fill="FFFFFF"/>
        </w:rPr>
        <w:t>三亚市健康教育所2022年</w:t>
      </w:r>
      <w:r>
        <w:rPr>
          <w:rFonts w:hint="eastAsia" w:ascii="黑体" w:hAnsi="黑体" w:eastAsia="黑体" w:cs="Times New Roman"/>
          <w:sz w:val="32"/>
          <w:shd w:val="clear" w:color="auto" w:fill="FFFFFF"/>
        </w:rPr>
        <w:t>收支预算情况的总体说明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综合预算原则，三亚市健康教育所所有收入和支出均纳入部门预算管理。收入包括：一般公共预算收入；支出包括：社会保障和就业支出、卫生健康支出、住房保障支出。三亚市健康教育所2022年收支总预算416.48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七、关于三亚市健康教育所</w:t>
      </w:r>
      <w:r>
        <w:rPr>
          <w:rFonts w:hint="eastAsia" w:ascii="仿宋_GB2312" w:hAnsi="黑体" w:eastAsia="仿宋_GB2312"/>
          <w:sz w:val="32"/>
          <w:szCs w:val="32"/>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Times New Roman" w:hAnsi="Times New Roman" w:eastAsia="黑体" w:cs="Times New Roman"/>
          <w:sz w:val="32"/>
          <w:shd w:val="clear" w:color="auto" w:fill="FFFFFF"/>
        </w:rPr>
      </w:pPr>
      <w:r>
        <w:rPr>
          <w:rFonts w:ascii="Times New Roman" w:hAnsi="Times New Roman" w:eastAsia="仿宋_GB2312" w:cs="Times New Roman"/>
          <w:sz w:val="32"/>
          <w:szCs w:val="32"/>
        </w:rPr>
        <w:t>三亚市健康教育所2022年收入预算208.24万元，其中：上年结转0万元；经费拨款收入208.24万元，占100%；政府性基金收入0万元。比上年预算数减少12.23万元，主要是因疫情原因项目经费有所压缩。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八、关于三亚市健康教育所2022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三亚市健康教育所2022年支出预算208.24万元，其中：基本支出171.24万元，占82.23%；项目支出37万元，占17.77%。比上年预算数减少12.23万元，主要是因疫情原因项目经费有所压缩。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（一）政府采购情况</w:t>
      </w:r>
    </w:p>
    <w:p>
      <w:pPr>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2022年三亚市健康教育所政府采购预算总额0元。</w:t>
      </w:r>
    </w:p>
    <w:p>
      <w:pPr>
        <w:ind w:firstLine="640" w:firstLineChars="200"/>
        <w:rPr>
          <w:rFonts w:ascii="楷体" w:hAnsi="楷体" w:eastAsia="楷体"/>
          <w:sz w:val="32"/>
          <w:szCs w:val="32"/>
        </w:rPr>
      </w:pPr>
      <w:r>
        <w:rPr>
          <w:rFonts w:hint="eastAsia" w:ascii="楷体" w:hAnsi="楷体" w:eastAsia="楷体"/>
          <w:sz w:val="32"/>
          <w:szCs w:val="32"/>
        </w:rPr>
        <w:t>（二）国有资产占有使用情况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截至202</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年12月31日，本单位无车辆。</w:t>
      </w:r>
    </w:p>
    <w:p>
      <w:pPr>
        <w:ind w:firstLine="640" w:firstLineChars="200"/>
        <w:rPr>
          <w:rFonts w:ascii="楷体" w:hAnsi="楷体" w:eastAsia="楷体"/>
          <w:sz w:val="32"/>
          <w:szCs w:val="32"/>
        </w:rPr>
      </w:pPr>
      <w:r>
        <w:rPr>
          <w:rFonts w:hint="eastAsia" w:ascii="楷体" w:hAnsi="楷体" w:eastAsia="楷体"/>
          <w:sz w:val="32"/>
          <w:szCs w:val="32"/>
        </w:rPr>
        <w:t>（三）绩效目标设置情况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2022年三亚市健康教育所2个项目实行绩效目标管理，涉及一般公共预算37万元。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474FF"/>
    <w:rsid w:val="003D685D"/>
    <w:rsid w:val="00A474FF"/>
    <w:rsid w:val="00A800EC"/>
    <w:rsid w:val="015A451B"/>
    <w:rsid w:val="19970895"/>
    <w:rsid w:val="53D666E5"/>
    <w:rsid w:val="60586F95"/>
    <w:rsid w:val="7BBF463F"/>
    <w:rsid w:val="B6BF13CA"/>
    <w:rsid w:val="FBEDF1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uiPriority w:val="0"/>
    <w:rPr>
      <w:rFonts w:ascii="Calibri" w:hAnsi="Calibri" w:cs="黑体"/>
      <w:kern w:val="2"/>
      <w:sz w:val="18"/>
      <w:szCs w:val="18"/>
    </w:rPr>
  </w:style>
  <w:style w:type="character" w:customStyle="1" w:styleId="8">
    <w:name w:val="页脚 Char"/>
    <w:basedOn w:val="5"/>
    <w:link w:val="2"/>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570</Words>
  <Characters>3255</Characters>
  <Lines>27</Lines>
  <Paragraphs>7</Paragraphs>
  <TotalTime>9</TotalTime>
  <ScaleCrop>false</ScaleCrop>
  <LinksUpToDate>false</LinksUpToDate>
  <CharactersWithSpaces>3818</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2022-02-15T16:11:00Z</dcterms:created>
  <dc:creator>Lenovo</dc:creator>
  <cp:lastModifiedBy>user</cp:lastModifiedBy>
  <dcterms:modified xsi:type="dcterms:W3CDTF">2023-08-22T16:10:00Z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