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sz w:val="84"/>
          <w:szCs w:val="84"/>
          <w:highlight w:val="none"/>
        </w:rPr>
      </w:pPr>
      <w:r>
        <w:rPr>
          <w:rFonts w:hint="eastAsia"/>
          <w:sz w:val="84"/>
          <w:szCs w:val="84"/>
          <w:highlight w:val="none"/>
        </w:rPr>
        <w:t>202</w:t>
      </w:r>
      <w:r>
        <w:rPr>
          <w:rFonts w:hint="eastAsia"/>
          <w:sz w:val="84"/>
          <w:szCs w:val="84"/>
          <w:highlight w:val="none"/>
          <w:lang w:val="en-US" w:eastAsia="zh-CN"/>
        </w:rPr>
        <w:t>2</w:t>
      </w:r>
      <w:r>
        <w:rPr>
          <w:rFonts w:hint="eastAsia"/>
          <w:sz w:val="84"/>
          <w:szCs w:val="84"/>
          <w:highlight w:val="none"/>
        </w:rPr>
        <w:t>年天涯区总工会部门预算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部门</w:t>
      </w:r>
      <w:r>
        <w:rPr>
          <w:rFonts w:hint="eastAsia" w:ascii="黑体" w:hAnsi="黑体" w:eastAsia="黑体"/>
          <w:sz w:val="32"/>
          <w:szCs w:val="32"/>
          <w:highlight w:val="none"/>
        </w:rPr>
        <w:t>概况</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部门预算单位构成</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r>
        <w:rPr>
          <w:rFonts w:hint="eastAsia" w:ascii="仿宋_GB2312" w:hAnsi="仿宋_GB2312" w:eastAsia="仿宋_GB2312" w:cs="仿宋_GB2312"/>
          <w:sz w:val="32"/>
          <w:szCs w:val="32"/>
          <w:highlight w:val="none"/>
          <w:lang w:val="en-US" w:eastAsia="zh-CN"/>
        </w:rPr>
        <w:t xml:space="preserve"> </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部门收支总表</w:t>
      </w:r>
      <w:r>
        <w:rPr>
          <w:rFonts w:hint="eastAsia" w:ascii="仿宋_GB2312" w:hAnsi="仿宋_GB2312" w:eastAsia="仿宋_GB2312" w:cs="仿宋_GB2312"/>
          <w:sz w:val="32"/>
          <w:szCs w:val="32"/>
          <w:highlight w:val="none"/>
          <w:lang w:val="en-US" w:eastAsia="zh-CN"/>
        </w:rPr>
        <w:t xml:space="preserve">  </w:t>
      </w:r>
      <w:bookmarkStart w:id="0" w:name="_GoBack"/>
      <w:bookmarkEnd w:id="0"/>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部门收入总表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部门支出总表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年预算情况说明</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部门</w:t>
      </w:r>
      <w:r>
        <w:rPr>
          <w:rFonts w:hint="eastAsia" w:ascii="黑体" w:hAnsi="黑体" w:eastAsia="黑体"/>
          <w:sz w:val="32"/>
          <w:szCs w:val="32"/>
          <w:highlight w:val="none"/>
        </w:rPr>
        <w:t>概况</w:t>
      </w:r>
    </w:p>
    <w:p>
      <w:pPr>
        <w:jc w:val="left"/>
        <w:rPr>
          <w:rFonts w:ascii="仿宋_GB2312" w:hAnsi="仿宋_GB2312"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三亚市天涯区总工会是在区委和市总工会领导下依法维护职工合法权益的群团组织，是党联系职工群众的桥梁和纽带，是国家政权的重要社会支持，是职工利益的代表者和维护者。</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一）贯彻中央及省、市有关工会工作的方针，政策，执行全总、省总、市总工会代表大会决议，依法拟定并组织实施本区工会组织、工会事业发展的规划和措施，组织全区各级工会认真履行工会“维护、建设、参与、教育”的职能，领导全区工会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（二）抓好区工会自身建设，指导基层工会开展职工之家建设。</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（三）指导基层工会推行厂务公开、民主管理，推行企业普遍开展工资集体协商，构建和谐劳动关系。</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（四）负责全区工会经费和工会资产的收、管、用和审查、审计工作；指导基层工会发展职工劳动福利事业。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（五）维护职工的合法权益和女职工的特权，指导和承担工会法律援助与法律服务工作。扶持下岗职工再就业，推动职工互助互济和开展对特困职工救助活动。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（六）协助有关部门开展安全生产检查工作，落实安全生产措施，建立健全安全生产、劳动保护组织。</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（七）做好劳动模范的推荐、管理和服务等工作。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（八）指导基层工会开展爱国主义教育、职业道德教育、职业技能培训、技术创新和职工文化体育活动。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（九）开展涉及职工切身利益的调查研究，为区委、区政府制定相应政策、措施提供依据，参与区委、区政府及有关部门涉及职工利益的政策、措施的研究和制定。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（十）承办区委、区政府和上级工会组织交办的工作。</w:t>
      </w: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纳入三亚市天涯区总工会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年预算编制范围的二级预算单位包括：</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三亚市天涯区总工会</w:t>
      </w:r>
      <w:r>
        <w:rPr>
          <w:rFonts w:hint="eastAsia" w:ascii="仿宋_GB2312" w:hAnsi="黑体" w:eastAsia="仿宋_GB2312" w:cs="仿宋_GB2312"/>
          <w:sz w:val="32"/>
          <w:szCs w:val="32"/>
          <w:lang w:eastAsia="zh-CN"/>
        </w:rPr>
        <w:t>本级</w:t>
      </w:r>
    </w:p>
    <w:p>
      <w:pPr>
        <w:ind w:firstLine="640" w:firstLineChars="200"/>
        <w:jc w:val="left"/>
        <w:rPr>
          <w:rFonts w:ascii="仿宋" w:hAnsi="仿宋" w:eastAsia="仿宋" w:cs="仿宋"/>
          <w:color w:val="auto"/>
          <w:kern w:val="0"/>
          <w:sz w:val="32"/>
          <w:szCs w:val="32"/>
          <w:highlight w:val="none"/>
        </w:rPr>
      </w:pPr>
    </w:p>
    <w:p>
      <w:pPr>
        <w:ind w:left="800"/>
        <w:jc w:val="center"/>
        <w:rPr>
          <w:rFonts w:ascii="黑体" w:hAnsi="黑体" w:eastAsia="黑体"/>
          <w:sz w:val="32"/>
          <w:szCs w:val="32"/>
          <w:highlight w:val="none"/>
        </w:rPr>
      </w:pPr>
      <w:r>
        <w:rPr>
          <w:rFonts w:hint="eastAsia" w:ascii="黑体" w:hAnsi="黑体" w:eastAsia="黑体"/>
          <w:sz w:val="32"/>
          <w:szCs w:val="32"/>
          <w:highlight w:val="none"/>
        </w:rPr>
        <w:t>第二部分 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（此部分内容即为部门预算公开表）</w:t>
      </w:r>
    </w:p>
    <w:p>
      <w:pPr>
        <w:rPr>
          <w:rFonts w:ascii="黑体" w:hAnsi="黑体" w:eastAsia="黑体"/>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第三部分  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年财政拨款收支预算情况的总体说明</w:t>
      </w:r>
    </w:p>
    <w:p>
      <w:pPr>
        <w:ind w:firstLine="640" w:firstLineChars="200"/>
        <w:jc w:val="left"/>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部门202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年财政拨款收支总预</w:t>
      </w:r>
      <w:r>
        <w:rPr>
          <w:rFonts w:hint="eastAsia" w:ascii="仿宋_GB2312" w:hAnsi="黑体" w:eastAsia="仿宋_GB2312"/>
          <w:sz w:val="32"/>
          <w:szCs w:val="32"/>
          <w:highlight w:val="none"/>
          <w:lang w:val="en-US" w:eastAsia="zh-CN"/>
        </w:rPr>
        <w:t>算</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万元。其中，收入总计</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万元，包括一般公共预算本年收入</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万元，政府性基金预算本年收入</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万元、支出总计</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万元，包括一般公共服务支出</w:t>
      </w:r>
      <w:r>
        <w:rPr>
          <w:rFonts w:hint="eastAsia" w:ascii="仿宋_GB2312" w:hAnsi="黑体" w:eastAsia="仿宋_GB2312" w:cs="仿宋_GB2312"/>
          <w:color w:val="auto"/>
          <w:sz w:val="32"/>
          <w:szCs w:val="32"/>
          <w:highlight w:val="none"/>
          <w:lang w:val="en-US" w:eastAsia="zh-CN"/>
        </w:rPr>
        <w:t>464.71</w:t>
      </w:r>
      <w:r>
        <w:rPr>
          <w:rFonts w:hint="eastAsia" w:ascii="仿宋_GB2312" w:hAnsi="黑体" w:eastAsia="仿宋_GB2312"/>
          <w:color w:val="auto"/>
          <w:sz w:val="32"/>
          <w:szCs w:val="32"/>
          <w:highlight w:val="none"/>
        </w:rPr>
        <w:t>万元、社会保障和就业支出</w:t>
      </w:r>
      <w:r>
        <w:rPr>
          <w:rFonts w:hint="eastAsia" w:ascii="仿宋_GB2312" w:hAnsi="黑体" w:eastAsia="仿宋_GB2312"/>
          <w:color w:val="auto"/>
          <w:sz w:val="32"/>
          <w:szCs w:val="32"/>
          <w:highlight w:val="none"/>
          <w:lang w:val="en-US" w:eastAsia="zh-CN"/>
        </w:rPr>
        <w:t>8.79</w:t>
      </w:r>
      <w:r>
        <w:rPr>
          <w:rFonts w:hint="eastAsia" w:ascii="仿宋_GB2312" w:hAnsi="黑体" w:eastAsia="仿宋_GB2312"/>
          <w:color w:val="auto"/>
          <w:sz w:val="32"/>
          <w:szCs w:val="32"/>
          <w:highlight w:val="none"/>
        </w:rPr>
        <w:t>万元、卫生健康支出</w:t>
      </w:r>
      <w:r>
        <w:rPr>
          <w:rFonts w:hint="eastAsia" w:ascii="仿宋_GB2312" w:hAnsi="黑体" w:eastAsia="仿宋_GB2312"/>
          <w:color w:val="auto"/>
          <w:sz w:val="32"/>
          <w:szCs w:val="32"/>
          <w:highlight w:val="none"/>
          <w:lang w:val="en-US" w:eastAsia="zh-CN"/>
        </w:rPr>
        <w:t>11.56</w:t>
      </w:r>
      <w:r>
        <w:rPr>
          <w:rFonts w:hint="eastAsia" w:ascii="仿宋_GB2312" w:hAnsi="黑体" w:eastAsia="仿宋_GB2312"/>
          <w:color w:val="auto"/>
          <w:sz w:val="32"/>
          <w:szCs w:val="32"/>
          <w:highlight w:val="none"/>
        </w:rPr>
        <w:t>万元、住房保障支出</w:t>
      </w:r>
      <w:r>
        <w:rPr>
          <w:rFonts w:hint="eastAsia" w:ascii="仿宋_GB2312" w:hAnsi="黑体" w:eastAsia="仿宋_GB2312"/>
          <w:color w:val="auto"/>
          <w:sz w:val="32"/>
          <w:szCs w:val="32"/>
          <w:highlight w:val="none"/>
          <w:lang w:val="en-US" w:eastAsia="zh-CN"/>
        </w:rPr>
        <w:t>7.42</w:t>
      </w:r>
      <w:r>
        <w:rPr>
          <w:rFonts w:hint="eastAsia" w:ascii="仿宋_GB2312" w:hAnsi="黑体" w:eastAsia="仿宋_GB2312"/>
          <w:color w:val="auto"/>
          <w:sz w:val="32"/>
          <w:szCs w:val="32"/>
          <w:highlight w:val="none"/>
        </w:rPr>
        <w:t>万元、结转下年</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w:t>
      </w:r>
      <w:r>
        <w:rPr>
          <w:rFonts w:hint="eastAsia" w:ascii="仿宋_GB2312" w:hAnsi="黑体" w:eastAsia="仿宋_GB2312"/>
          <w:color w:val="auto"/>
          <w:sz w:val="32"/>
          <w:szCs w:val="32"/>
          <w:highlight w:val="none"/>
        </w:rPr>
        <w:t>般公共预算当年拨款</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66.94</w:t>
      </w:r>
      <w:r>
        <w:rPr>
          <w:rFonts w:hint="eastAsia" w:ascii="仿宋_GB2312" w:hAnsi="黑体" w:eastAsia="仿宋_GB2312"/>
          <w:color w:val="auto"/>
          <w:sz w:val="32"/>
          <w:szCs w:val="32"/>
          <w:highlight w:val="none"/>
        </w:rPr>
        <w:t>万元，主要是增加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464.71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9</w:t>
      </w:r>
      <w:r>
        <w:rPr>
          <w:rFonts w:hint="eastAsia" w:ascii="仿宋_GB2312" w:hAnsi="黑体" w:eastAsia="仿宋_GB2312" w:cs="仿宋_GB2312"/>
          <w:sz w:val="32"/>
          <w:szCs w:val="32"/>
          <w:highlight w:val="none"/>
          <w:lang w:val="en-US" w:eastAsia="zh-CN"/>
        </w:rPr>
        <w:t>4.36</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8.79</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1.78</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11.56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2.35</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7.42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1.51</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sz w:val="32"/>
          <w:szCs w:val="32"/>
          <w:highlight w:val="none"/>
        </w:rPr>
        <w:t>1.一般公共服务（类）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（款）行政运行（项）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74.23</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val="en-US" w:eastAsia="zh-CN"/>
        </w:rPr>
        <w:t>增加41.21</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rPr>
        <w:t>主要是增加</w:t>
      </w:r>
      <w:r>
        <w:rPr>
          <w:rFonts w:hint="eastAsia" w:ascii="仿宋_GB2312" w:hAnsi="黑体" w:eastAsia="仿宋_GB2312"/>
          <w:color w:val="auto"/>
          <w:sz w:val="32"/>
          <w:szCs w:val="32"/>
          <w:highlight w:val="none"/>
          <w:lang w:val="en-US" w:eastAsia="zh-CN"/>
        </w:rPr>
        <w:t>3名在编在岗人员。</w:t>
      </w:r>
    </w:p>
    <w:p>
      <w:pPr>
        <w:ind w:firstLine="640" w:firstLineChars="200"/>
        <w:rPr>
          <w:rFonts w:hint="eastAsia" w:ascii="仿宋" w:hAnsi="仿宋" w:eastAsia="仿宋" w:cs="仿宋"/>
          <w:b w:val="0"/>
          <w:bCs w:val="0"/>
          <w:color w:val="auto"/>
          <w:sz w:val="32"/>
          <w:szCs w:val="32"/>
          <w:highlight w:val="none"/>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（款）一般行政管理事务（项）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50.62</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1.7</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办公设备更新及维护减少</w:t>
      </w:r>
      <w:r>
        <w:rPr>
          <w:rFonts w:hint="eastAsia" w:ascii="仿宋" w:hAnsi="仿宋" w:eastAsia="仿宋" w:cs="仿宋"/>
          <w:b w:val="0"/>
          <w:bCs w:val="0"/>
          <w:color w:val="auto"/>
          <w:sz w:val="32"/>
          <w:szCs w:val="32"/>
          <w:highlight w:val="none"/>
          <w:lang w:val="en-US" w:eastAsia="zh-CN"/>
        </w:rPr>
        <w:t>。</w:t>
      </w:r>
    </w:p>
    <w:p>
      <w:pPr>
        <w:ind w:firstLine="640" w:firstLineChars="200"/>
        <w:rPr>
          <w:rFonts w:ascii="仿宋_GB2312" w:hAnsi="黑体" w:eastAsia="仿宋_GB2312"/>
          <w:color w:val="auto"/>
          <w:sz w:val="32"/>
          <w:szCs w:val="32"/>
          <w:highlight w:val="none"/>
        </w:rPr>
      </w:pPr>
      <w:r>
        <w:rPr>
          <w:rFonts w:ascii="仿宋_GB2312" w:hAnsi="黑体" w:eastAsia="仿宋_GB2312" w:cs="仿宋_GB2312"/>
          <w:sz w:val="32"/>
          <w:szCs w:val="32"/>
          <w:highlight w:val="none"/>
        </w:rPr>
        <w:t>3.</w:t>
      </w:r>
      <w:r>
        <w:rPr>
          <w:rFonts w:hint="eastAsia" w:ascii="仿宋_GB2312" w:hAnsi="黑体" w:eastAsia="仿宋_GB2312" w:cs="仿宋_GB2312"/>
          <w:sz w:val="32"/>
          <w:szCs w:val="32"/>
          <w:highlight w:val="none"/>
        </w:rPr>
        <w:t>一般公共服务（类）群众团体事务（款）其他群众团体事务支出（项）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339.86</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9.91</w:t>
      </w:r>
      <w:r>
        <w:rPr>
          <w:rFonts w:hint="eastAsia" w:ascii="仿宋_GB2312" w:hAnsi="黑体" w:eastAsia="仿宋_GB2312"/>
          <w:sz w:val="32"/>
          <w:szCs w:val="32"/>
          <w:highlight w:val="none"/>
        </w:rPr>
        <w:t>万元，主</w:t>
      </w:r>
      <w:r>
        <w:rPr>
          <w:rFonts w:hint="eastAsia" w:ascii="仿宋_GB2312" w:hAnsi="黑体" w:eastAsia="仿宋_GB2312"/>
          <w:color w:val="auto"/>
          <w:sz w:val="32"/>
          <w:szCs w:val="32"/>
          <w:highlight w:val="none"/>
        </w:rPr>
        <w:t>要是</w:t>
      </w:r>
      <w:r>
        <w:rPr>
          <w:rFonts w:hint="eastAsia" w:ascii="仿宋_GB2312" w:hAnsi="黑体" w:eastAsia="仿宋_GB2312"/>
          <w:color w:val="auto"/>
          <w:sz w:val="32"/>
          <w:szCs w:val="32"/>
          <w:highlight w:val="none"/>
          <w:lang w:eastAsia="zh-CN"/>
        </w:rPr>
        <w:t>新增</w:t>
      </w:r>
      <w:r>
        <w:rPr>
          <w:rFonts w:hint="eastAsia" w:ascii="仿宋_GB2312" w:hAnsi="黑体" w:eastAsia="仿宋_GB2312"/>
          <w:color w:val="auto"/>
          <w:sz w:val="32"/>
          <w:szCs w:val="32"/>
          <w:highlight w:val="none"/>
          <w:lang w:val="en-US" w:eastAsia="zh-CN"/>
        </w:rPr>
        <w:t>45个村居委会经费</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ascii="仿宋_GB2312" w:hAnsi="黑体" w:eastAsia="仿宋_GB2312"/>
          <w:sz w:val="32"/>
          <w:szCs w:val="32"/>
          <w:highlight w:val="none"/>
        </w:rPr>
        <w:t>4.</w:t>
      </w:r>
      <w:r>
        <w:rPr>
          <w:rFonts w:hint="eastAsia" w:ascii="仿宋_GB2312" w:eastAsia="仿宋_GB2312"/>
          <w:sz w:val="32"/>
          <w:szCs w:val="32"/>
          <w:highlight w:val="none"/>
        </w:rPr>
        <w:t>社会保障和就业支出</w:t>
      </w:r>
      <w:r>
        <w:rPr>
          <w:rFonts w:hint="eastAsia" w:ascii="仿宋_GB2312" w:hAnsi="黑体" w:eastAsia="仿宋_GB2312"/>
          <w:sz w:val="32"/>
          <w:szCs w:val="32"/>
          <w:highlight w:val="none"/>
        </w:rPr>
        <w:t>（类）行政事业单位离退休（款）机关事业单位基本养老保险缴费支出（项）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color w:val="auto"/>
          <w:sz w:val="32"/>
          <w:szCs w:val="32"/>
          <w:highlight w:val="none"/>
          <w:lang w:val="en-US" w:eastAsia="zh-CN"/>
        </w:rPr>
        <w:t>8.79</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lang w:val="en-US" w:eastAsia="zh-CN"/>
        </w:rPr>
        <w:t>5.67</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5</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卫生健康支出（类）行政事业单位医疗（款）行政单位医疗（项）</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4.53</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增加2.87</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6</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医疗卫生与计划生育支出（类）行政事业单位医疗（款）公务员医疗补助（项）</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7.02</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增加4.01</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7</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住房保障支出（类）住房改革支出（款）住房公积金（项）</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7.42</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增加4.98</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rPr>
          <w:rFonts w:ascii="黑体" w:hAnsi="黑体" w:eastAsia="黑体"/>
          <w:sz w:val="32"/>
          <w:szCs w:val="32"/>
          <w:highlight w:val="none"/>
        </w:rPr>
      </w:pPr>
      <w:r>
        <w:rPr>
          <w:rFonts w:hint="eastAsia" w:ascii="黑体" w:hAnsi="黑体" w:eastAsia="黑体"/>
          <w:sz w:val="32"/>
          <w:szCs w:val="32"/>
          <w:highlight w:val="none"/>
        </w:rPr>
        <w:t>三、关于三亚市天涯区总工会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部门202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102</w:t>
      </w:r>
      <w:r>
        <w:rPr>
          <w:rFonts w:hint="eastAsia" w:ascii="仿宋_GB2312" w:hAnsi="黑体" w:eastAsia="仿宋_GB2312"/>
          <w:sz w:val="32"/>
          <w:szCs w:val="32"/>
          <w:highlight w:val="none"/>
        </w:rPr>
        <w:t>万元，其中：</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97.8</w:t>
      </w:r>
      <w:r>
        <w:rPr>
          <w:rFonts w:hint="eastAsia" w:ascii="仿宋_GB2312" w:hAnsi="黑体" w:eastAsia="仿宋_GB2312"/>
          <w:sz w:val="32"/>
          <w:szCs w:val="32"/>
          <w:highlight w:val="none"/>
        </w:rPr>
        <w:t>万元，主要包括：基本工资</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津贴补贴</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奖金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机关事业单位基本养老保险缴费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职工基本医疗保险缴费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公务员医疗补助缴费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医疗费</w:t>
      </w:r>
      <w:r>
        <w:rPr>
          <w:rFonts w:hint="eastAsia" w:ascii="仿宋_GB2312" w:hAnsi="黑体" w:eastAsia="仿宋_GB2312"/>
          <w:sz w:val="32"/>
          <w:szCs w:val="32"/>
          <w:highlight w:val="none"/>
          <w:lang w:eastAsia="zh-CN"/>
        </w:rPr>
        <w:t>、商品和服务支出、邮电费、其他交通费用</w:t>
      </w:r>
      <w:r>
        <w:rPr>
          <w:rFonts w:hint="eastAsia" w:ascii="仿宋_GB2312" w:hAnsi="黑体" w:eastAsia="仿宋_GB2312"/>
          <w:sz w:val="32"/>
          <w:szCs w:val="32"/>
          <w:highlight w:val="none"/>
        </w:rPr>
        <w:t>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4.20</w:t>
      </w:r>
      <w:r>
        <w:rPr>
          <w:rFonts w:hint="eastAsia" w:ascii="仿宋_GB2312" w:hAnsi="黑体" w:eastAsia="仿宋_GB2312"/>
          <w:sz w:val="32"/>
          <w:szCs w:val="32"/>
          <w:highlight w:val="none"/>
        </w:rPr>
        <w:t>万元，主要包括：商品和服务支出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办公费、培训费、工会费、公务用车运行维护费</w:t>
      </w:r>
      <w:r>
        <w:rPr>
          <w:rFonts w:hint="eastAsia" w:ascii="仿宋_GB2312" w:hAnsi="黑体" w:eastAsia="仿宋_GB2312"/>
          <w:sz w:val="32"/>
          <w:szCs w:val="32"/>
          <w:highlight w:val="none"/>
          <w:lang w:eastAsia="zh-CN"/>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3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与上年预算持平。</w:t>
      </w:r>
    </w:p>
    <w:p>
      <w:pPr>
        <w:ind w:firstLine="640" w:firstLineChars="200"/>
        <w:rPr>
          <w:rFonts w:ascii="Times New Roman" w:hAnsi="Times New Roman" w:eastAsia="仿宋_GB2312" w:cs="Times New Roman"/>
          <w:sz w:val="32"/>
          <w:highlight w:val="none"/>
          <w:shd w:val="clear" w:color="auto" w:fill="FFFFFF"/>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部门</w:t>
      </w:r>
      <w:r>
        <w:rPr>
          <w:rFonts w:hint="eastAsia" w:ascii="仿宋_GB2312" w:hAnsi="黑体" w:eastAsia="仿宋_GB2312"/>
          <w:sz w:val="32"/>
          <w:szCs w:val="32"/>
          <w:highlight w:val="none"/>
        </w:rPr>
        <w:t>政府性基金预算“三公”经费预算数为</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。此项无预算安排。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w:t>
      </w:r>
      <w:r>
        <w:rPr>
          <w:rFonts w:hint="eastAsia" w:ascii="仿宋_GB2312" w:hAnsi="楷体" w:eastAsia="仿宋_GB2312"/>
          <w:sz w:val="32"/>
          <w:szCs w:val="32"/>
          <w:highlight w:val="none"/>
        </w:rPr>
        <w:t>无政府性基金预算安排。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按照综合预算原则，天涯区总工会</w:t>
      </w:r>
      <w:r>
        <w:rPr>
          <w:rFonts w:hint="eastAsia" w:ascii="仿宋_GB2312" w:hAnsi="黑体" w:eastAsia="仿宋_GB2312" w:cs="仿宋_GB2312"/>
          <w:sz w:val="32"/>
          <w:szCs w:val="32"/>
          <w:highlight w:val="none"/>
          <w:lang w:eastAsia="zh-CN"/>
        </w:rPr>
        <w:t>部门</w:t>
      </w:r>
      <w:r>
        <w:rPr>
          <w:rFonts w:hint="eastAsia" w:ascii="仿宋_GB2312" w:hAnsi="黑体" w:eastAsia="仿宋_GB2312" w:cs="仿宋_GB2312"/>
          <w:sz w:val="32"/>
          <w:szCs w:val="32"/>
          <w:highlight w:val="none"/>
        </w:rPr>
        <w:t>所有收入和支出均纳入部门预算管理。收入包括：一般公共预算收入；</w:t>
      </w:r>
      <w:r>
        <w:rPr>
          <w:rFonts w:hint="eastAsia" w:ascii="仿宋_GB2312" w:hAnsi="黑体" w:eastAsia="仿宋_GB2312"/>
          <w:sz w:val="32"/>
          <w:szCs w:val="32"/>
          <w:highlight w:val="none"/>
        </w:rPr>
        <w:t>支出包括：一般公共服务支出、社会保障和就业支出、卫生健康支出、住房保障支出。</w:t>
      </w:r>
      <w:r>
        <w:rPr>
          <w:rFonts w:hint="eastAsia" w:ascii="仿宋_GB2312" w:hAnsi="黑体" w:eastAsia="仿宋_GB2312" w:cs="仿宋_GB2312"/>
          <w:sz w:val="32"/>
          <w:szCs w:val="32"/>
          <w:highlight w:val="none"/>
        </w:rPr>
        <w:t>总工会</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492.47</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eastAsia="zh-CN"/>
        </w:rPr>
        <w:t>部门202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年收入预算</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万元，其中：经费拨款收入</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100</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比上年预算数增加</w:t>
      </w:r>
      <w:r>
        <w:rPr>
          <w:rFonts w:hint="eastAsia" w:ascii="仿宋_GB2312" w:hAnsi="黑体" w:eastAsia="仿宋_GB2312"/>
          <w:color w:val="auto"/>
          <w:sz w:val="32"/>
          <w:szCs w:val="32"/>
          <w:highlight w:val="none"/>
          <w:lang w:val="en-US" w:eastAsia="zh-CN"/>
        </w:rPr>
        <w:t>66.94万元，</w:t>
      </w:r>
      <w:r>
        <w:rPr>
          <w:rFonts w:hint="eastAsia" w:ascii="仿宋_GB2312" w:hAnsi="黑体" w:eastAsia="仿宋_GB2312"/>
          <w:color w:val="auto"/>
          <w:sz w:val="32"/>
          <w:szCs w:val="32"/>
          <w:highlight w:val="none"/>
        </w:rPr>
        <w:t>主要是增加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部门202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部门202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492.47</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102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20.71</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390.47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79.29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66.07</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rPr>
        <w:t>主要是增加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color w:val="0000FF"/>
          <w:sz w:val="32"/>
          <w:szCs w:val="32"/>
          <w:highlight w:val="none"/>
        </w:rPr>
      </w:pP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天涯区总工会本级</w:t>
      </w:r>
      <w:r>
        <w:rPr>
          <w:rFonts w:hint="eastAsia" w:ascii="仿宋_GB2312" w:hAnsi="黑体" w:eastAsia="仿宋_GB2312" w:cs="仿宋_GB2312"/>
          <w:color w:val="auto"/>
          <w:sz w:val="32"/>
          <w:szCs w:val="32"/>
          <w:highlight w:val="none"/>
        </w:rPr>
        <w:t>机关运行经费预算</w:t>
      </w:r>
      <w:r>
        <w:rPr>
          <w:rFonts w:hint="eastAsia" w:ascii="仿宋_GB2312" w:hAnsi="黑体" w:eastAsia="仿宋_GB2312" w:cs="仿宋_GB2312"/>
          <w:color w:val="auto"/>
          <w:sz w:val="32"/>
          <w:szCs w:val="32"/>
          <w:highlight w:val="none"/>
          <w:lang w:val="en-US" w:eastAsia="zh-CN"/>
        </w:rPr>
        <w:t>20.45万</w:t>
      </w:r>
      <w:r>
        <w:rPr>
          <w:rFonts w:hint="eastAsia" w:ascii="仿宋_GB2312" w:hAnsi="黑体" w:eastAsia="仿宋_GB2312" w:cs="仿宋_GB2312"/>
          <w:color w:val="auto"/>
          <w:sz w:val="32"/>
          <w:szCs w:val="32"/>
          <w:highlight w:val="none"/>
        </w:rPr>
        <w:t>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（二）政府采购情况</w:t>
      </w:r>
    </w:p>
    <w:p>
      <w:pPr>
        <w:ind w:firstLine="64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三亚市天涯区总工会</w:t>
      </w:r>
      <w:r>
        <w:rPr>
          <w:rFonts w:hint="eastAsia" w:ascii="仿宋_GB2312" w:hAnsi="黑体" w:eastAsia="仿宋_GB2312"/>
          <w:color w:val="auto"/>
          <w:sz w:val="32"/>
          <w:szCs w:val="32"/>
          <w:highlight w:val="none"/>
          <w:lang w:eastAsia="zh-CN"/>
        </w:rPr>
        <w:t>202</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本级及下属各预算</w:t>
      </w:r>
      <w:r>
        <w:rPr>
          <w:rFonts w:hint="eastAsia" w:ascii="仿宋_GB2312" w:hAnsi="黑体" w:eastAsia="仿宋_GB2312" w:cs="仿宋_GB2312"/>
          <w:color w:val="auto"/>
          <w:sz w:val="32"/>
          <w:szCs w:val="32"/>
          <w:highlight w:val="none"/>
          <w:lang w:eastAsia="zh-CN"/>
        </w:rPr>
        <w:t>部门无</w:t>
      </w:r>
      <w:r>
        <w:rPr>
          <w:rFonts w:hint="eastAsia" w:ascii="仿宋_GB2312" w:hAnsi="黑体" w:eastAsia="仿宋_GB2312" w:cs="仿宋_GB2312"/>
          <w:color w:val="auto"/>
          <w:sz w:val="32"/>
          <w:szCs w:val="32"/>
          <w:highlight w:val="none"/>
        </w:rPr>
        <w:t>政府采购预算</w:t>
      </w:r>
      <w:r>
        <w:rPr>
          <w:rFonts w:hint="eastAsia" w:ascii="仿宋_GB2312" w:hAnsi="黑体" w:eastAsia="仿宋_GB2312" w:cs="仿宋_GB2312"/>
          <w:color w:val="auto"/>
          <w:sz w:val="32"/>
          <w:szCs w:val="32"/>
          <w:highlight w:val="none"/>
          <w:lang w:eastAsia="zh-CN"/>
        </w:rPr>
        <w:t>安排。</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（三）国有资产占有使用情况</w:t>
      </w:r>
    </w:p>
    <w:p>
      <w:pPr>
        <w:ind w:firstLine="640" w:firstLineChars="200"/>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截至</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年12月31日，</w:t>
      </w:r>
      <w:r>
        <w:rPr>
          <w:rFonts w:hint="eastAsia" w:ascii="仿宋_GB2312" w:hAnsi="黑体" w:eastAsia="仿宋_GB2312" w:cs="仿宋_GB2312"/>
          <w:color w:val="auto"/>
          <w:sz w:val="32"/>
          <w:szCs w:val="32"/>
          <w:highlight w:val="none"/>
        </w:rPr>
        <w:t>三亚市天涯区总工会本级及下属各预算单位共有车辆1辆，其中，领导干部用车0辆，机要通信应急用车0辆、一般执法执勤用车0辆、特种专业技术用车0辆、其他用车1辆。单位价值100万元以上设备0台（套）。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（四）绩效目标设置情况</w:t>
      </w:r>
    </w:p>
    <w:p>
      <w:pPr>
        <w:ind w:firstLine="640" w:firstLineChars="200"/>
        <w:rPr>
          <w:rFonts w:hint="eastAsia" w:ascii="仿宋_GB2312" w:hAnsi="黑体" w:eastAsia="仿宋_GB2312"/>
          <w:color w:val="0000FF"/>
          <w:sz w:val="32"/>
          <w:szCs w:val="32"/>
          <w:highlight w:val="none"/>
        </w:rPr>
      </w:pP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val="en-US" w:eastAsia="zh-CN"/>
        </w:rPr>
        <w:t>16个</w:t>
      </w:r>
      <w:r>
        <w:rPr>
          <w:rFonts w:hint="eastAsia" w:ascii="仿宋_GB2312" w:hAnsi="黑体" w:eastAsia="仿宋_GB2312" w:cs="仿宋_GB2312"/>
          <w:color w:val="auto"/>
          <w:sz w:val="32"/>
          <w:szCs w:val="32"/>
          <w:highlight w:val="none"/>
        </w:rPr>
        <w:t>项目实行绩效目标管理，涉及一般公共预算</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w:t>
      </w: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045C0"/>
    <w:rsid w:val="000366A9"/>
    <w:rsid w:val="00053CC6"/>
    <w:rsid w:val="000747F5"/>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8651A"/>
    <w:rsid w:val="004A1C49"/>
    <w:rsid w:val="004B1A10"/>
    <w:rsid w:val="00517364"/>
    <w:rsid w:val="00522287"/>
    <w:rsid w:val="00525863"/>
    <w:rsid w:val="00537B3F"/>
    <w:rsid w:val="0059423F"/>
    <w:rsid w:val="005C2065"/>
    <w:rsid w:val="005C6DA8"/>
    <w:rsid w:val="00640059"/>
    <w:rsid w:val="00683610"/>
    <w:rsid w:val="006871F7"/>
    <w:rsid w:val="00696476"/>
    <w:rsid w:val="006B1FB3"/>
    <w:rsid w:val="006C102A"/>
    <w:rsid w:val="006D6C06"/>
    <w:rsid w:val="006F00B3"/>
    <w:rsid w:val="006F2B9A"/>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AF31DE"/>
    <w:rsid w:val="00BB11FF"/>
    <w:rsid w:val="00BE1257"/>
    <w:rsid w:val="00C91D51"/>
    <w:rsid w:val="00CA7DBE"/>
    <w:rsid w:val="00CD7757"/>
    <w:rsid w:val="00CE0C42"/>
    <w:rsid w:val="00D27FE4"/>
    <w:rsid w:val="00DC65EF"/>
    <w:rsid w:val="00DD3FD8"/>
    <w:rsid w:val="00E23DB6"/>
    <w:rsid w:val="00E3389C"/>
    <w:rsid w:val="00E73A4A"/>
    <w:rsid w:val="00ED50D0"/>
    <w:rsid w:val="00ED6580"/>
    <w:rsid w:val="00EE2491"/>
    <w:rsid w:val="00F442C4"/>
    <w:rsid w:val="00F91B44"/>
    <w:rsid w:val="00FB0A31"/>
    <w:rsid w:val="00FF3698"/>
    <w:rsid w:val="012F21D8"/>
    <w:rsid w:val="07782C21"/>
    <w:rsid w:val="081C7686"/>
    <w:rsid w:val="081D475E"/>
    <w:rsid w:val="08552317"/>
    <w:rsid w:val="092F0E25"/>
    <w:rsid w:val="0B4C4CF1"/>
    <w:rsid w:val="0E1675EE"/>
    <w:rsid w:val="0F7B3BAA"/>
    <w:rsid w:val="0FE660FC"/>
    <w:rsid w:val="107E7F17"/>
    <w:rsid w:val="11006EB0"/>
    <w:rsid w:val="12740CDF"/>
    <w:rsid w:val="127B370A"/>
    <w:rsid w:val="12F92AE4"/>
    <w:rsid w:val="13094233"/>
    <w:rsid w:val="143839E2"/>
    <w:rsid w:val="14A26472"/>
    <w:rsid w:val="15691A2D"/>
    <w:rsid w:val="15EC72FC"/>
    <w:rsid w:val="15F01AF6"/>
    <w:rsid w:val="16465D32"/>
    <w:rsid w:val="18023DA1"/>
    <w:rsid w:val="19A716A9"/>
    <w:rsid w:val="1B1F6D66"/>
    <w:rsid w:val="1B9E6577"/>
    <w:rsid w:val="1BBE3B57"/>
    <w:rsid w:val="1C2E085B"/>
    <w:rsid w:val="1E161780"/>
    <w:rsid w:val="1E810317"/>
    <w:rsid w:val="1EED1718"/>
    <w:rsid w:val="1FF96945"/>
    <w:rsid w:val="21455662"/>
    <w:rsid w:val="22AF75B8"/>
    <w:rsid w:val="22D8601F"/>
    <w:rsid w:val="24ED6DA6"/>
    <w:rsid w:val="25B5051F"/>
    <w:rsid w:val="25FE6DD4"/>
    <w:rsid w:val="260A3BEC"/>
    <w:rsid w:val="26101C9A"/>
    <w:rsid w:val="26234A9A"/>
    <w:rsid w:val="27C32D66"/>
    <w:rsid w:val="27FC10E5"/>
    <w:rsid w:val="29D805DE"/>
    <w:rsid w:val="2A5F6FF0"/>
    <w:rsid w:val="2BC23B2A"/>
    <w:rsid w:val="2BF9156E"/>
    <w:rsid w:val="2C78222E"/>
    <w:rsid w:val="2CE218AF"/>
    <w:rsid w:val="2D7843C8"/>
    <w:rsid w:val="2E3F75C1"/>
    <w:rsid w:val="312864E0"/>
    <w:rsid w:val="315E0D08"/>
    <w:rsid w:val="319A7834"/>
    <w:rsid w:val="32145588"/>
    <w:rsid w:val="32453C39"/>
    <w:rsid w:val="33F06132"/>
    <w:rsid w:val="340F676A"/>
    <w:rsid w:val="356B2884"/>
    <w:rsid w:val="361D6935"/>
    <w:rsid w:val="37D5684D"/>
    <w:rsid w:val="38882F4F"/>
    <w:rsid w:val="396D6024"/>
    <w:rsid w:val="3B0A6C8D"/>
    <w:rsid w:val="3BF6055E"/>
    <w:rsid w:val="3D6B701B"/>
    <w:rsid w:val="3DCD7E90"/>
    <w:rsid w:val="3DDE3F16"/>
    <w:rsid w:val="405204B2"/>
    <w:rsid w:val="4124708F"/>
    <w:rsid w:val="457150E1"/>
    <w:rsid w:val="458A1AB2"/>
    <w:rsid w:val="48057D15"/>
    <w:rsid w:val="496A41F6"/>
    <w:rsid w:val="4A5B7AFD"/>
    <w:rsid w:val="4D721B13"/>
    <w:rsid w:val="4E2C1F6B"/>
    <w:rsid w:val="4E55650A"/>
    <w:rsid w:val="4F1113EC"/>
    <w:rsid w:val="5251708E"/>
    <w:rsid w:val="53B7529B"/>
    <w:rsid w:val="54922EC5"/>
    <w:rsid w:val="565A75BC"/>
    <w:rsid w:val="5748221D"/>
    <w:rsid w:val="5B800754"/>
    <w:rsid w:val="5C5538E9"/>
    <w:rsid w:val="5CEC100A"/>
    <w:rsid w:val="5DD80AA9"/>
    <w:rsid w:val="5DED450C"/>
    <w:rsid w:val="5EFE77B3"/>
    <w:rsid w:val="5F737ABC"/>
    <w:rsid w:val="5F787A9D"/>
    <w:rsid w:val="5F9B12DE"/>
    <w:rsid w:val="608934E5"/>
    <w:rsid w:val="61AA7B6F"/>
    <w:rsid w:val="62480C00"/>
    <w:rsid w:val="627206D9"/>
    <w:rsid w:val="62BD2226"/>
    <w:rsid w:val="636D2C1B"/>
    <w:rsid w:val="63767693"/>
    <w:rsid w:val="65901EB9"/>
    <w:rsid w:val="65DF3485"/>
    <w:rsid w:val="65EC4E71"/>
    <w:rsid w:val="66D145C9"/>
    <w:rsid w:val="689071B1"/>
    <w:rsid w:val="69446340"/>
    <w:rsid w:val="6A13129B"/>
    <w:rsid w:val="6A3C557C"/>
    <w:rsid w:val="6A4B469B"/>
    <w:rsid w:val="6A871AC9"/>
    <w:rsid w:val="6B8C1780"/>
    <w:rsid w:val="6C2B3A00"/>
    <w:rsid w:val="6E805437"/>
    <w:rsid w:val="6FAA2671"/>
    <w:rsid w:val="70C02ED8"/>
    <w:rsid w:val="72862E2C"/>
    <w:rsid w:val="729F2616"/>
    <w:rsid w:val="730B514F"/>
    <w:rsid w:val="734A084E"/>
    <w:rsid w:val="753849A0"/>
    <w:rsid w:val="769226F2"/>
    <w:rsid w:val="76C511DC"/>
    <w:rsid w:val="77DD67C8"/>
    <w:rsid w:val="79DA3E14"/>
    <w:rsid w:val="7BFD0445"/>
    <w:rsid w:val="7DAF2738"/>
    <w:rsid w:val="7DB2714E"/>
    <w:rsid w:val="7E015B3C"/>
    <w:rsid w:val="7E4A2B4E"/>
    <w:rsid w:val="7F77032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686</Words>
  <Characters>3914</Characters>
  <Lines>32</Lines>
  <Paragraphs>9</Paragraphs>
  <ScaleCrop>false</ScaleCrop>
  <LinksUpToDate>false</LinksUpToDate>
  <CharactersWithSpaces>4591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2022-02-17T03:19:00Z</cp:lastPrinted>
  <dcterms:modified xsi:type="dcterms:W3CDTF">2022-02-16T08:00:30Z</dcterms:modified>
  <dc:title>2019年天涯区总工会部门预算</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