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三亚市市民游客中心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p>
    <w:p>
      <w:pPr>
        <w:jc w:val="center"/>
        <w:rPr>
          <w:rFonts w:hint="eastAsia" w:ascii="黑体" w:hAnsi="黑体" w:eastAsia="黑体"/>
          <w:sz w:val="52"/>
          <w:szCs w:val="52"/>
        </w:rPr>
      </w:pPr>
      <w:r>
        <w:rPr>
          <w:rFonts w:hint="eastAsia" w:ascii="黑体" w:hAnsi="黑体" w:eastAsia="黑体"/>
          <w:sz w:val="52"/>
          <w:szCs w:val="52"/>
        </w:rPr>
        <w:t>目录</w:t>
      </w:r>
    </w:p>
    <w:p>
      <w:pPr>
        <w:jc w:val="both"/>
        <w:rPr>
          <w:rFonts w:hint="eastAsia" w:ascii="仿宋_GB2312" w:hAnsi="仿宋_GB2312" w:eastAsia="仿宋_GB2312" w:cs="仿宋_GB2312"/>
          <w:sz w:val="32"/>
          <w:szCs w:val="32"/>
        </w:rPr>
      </w:pP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三亚市市民游客中心</w:t>
      </w:r>
      <w:r>
        <w:rPr>
          <w:rFonts w:hint="eastAsia" w:ascii="黑体" w:hAnsi="黑体" w:eastAsia="黑体"/>
          <w:sz w:val="32"/>
          <w:szCs w:val="32"/>
        </w:rPr>
        <w:t>概况</w:t>
      </w:r>
    </w:p>
    <w:p>
      <w:pPr>
        <w:pStyle w:val="6"/>
        <w:numPr>
          <w:ilvl w:val="0"/>
          <w:numId w:val="2"/>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2"/>
        </w:numPr>
        <w:ind w:leftChars="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三亚市市民游客中心</w:t>
      </w:r>
      <w:r>
        <w:rPr>
          <w:rFonts w:hint="eastAsia" w:ascii="黑体" w:hAnsi="黑体" w:eastAsia="黑体"/>
          <w:sz w:val="32"/>
          <w:szCs w:val="32"/>
          <w:lang w:val="en-US" w:eastAsia="zh-CN"/>
        </w:rPr>
        <w:t>2022</w:t>
      </w:r>
      <w:r>
        <w:rPr>
          <w:rFonts w:hint="eastAsia" w:ascii="黑体" w:hAnsi="黑体" w:eastAsia="黑体"/>
          <w:sz w:val="32"/>
          <w:szCs w:val="32"/>
          <w:lang w:eastAsia="zh-CN"/>
        </w:rPr>
        <w:t>年单位预算</w:t>
      </w:r>
      <w:r>
        <w:rPr>
          <w:rFonts w:hint="eastAsia" w:ascii="黑体" w:hAnsi="黑体" w:eastAsia="黑体"/>
          <w:sz w:val="32"/>
          <w:szCs w:val="32"/>
        </w:rPr>
        <w:t>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三亚市市民游客中心</w:t>
      </w:r>
      <w:r>
        <w:rPr>
          <w:rFonts w:hint="eastAsia" w:ascii="黑体" w:hAnsi="黑体" w:eastAsia="黑体"/>
          <w:sz w:val="32"/>
          <w:szCs w:val="32"/>
        </w:rPr>
        <w:t>概况</w:t>
      </w:r>
    </w:p>
    <w:p>
      <w:pPr>
        <w:pStyle w:val="6"/>
        <w:numPr>
          <w:ilvl w:val="0"/>
          <w:numId w:val="0"/>
        </w:numPr>
        <w:ind w:leftChars="0"/>
        <w:jc w:val="left"/>
        <w:rPr>
          <w:rFonts w:hint="eastAsia" w:ascii="黑体" w:hAnsi="黑体" w:eastAsia="黑体" w:cs="仿宋_GB2312"/>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val="en-US" w:eastAsia="zh-CN"/>
        </w:rPr>
        <w:t>一、</w:t>
      </w:r>
      <w:r>
        <w:rPr>
          <w:rFonts w:hint="eastAsia" w:ascii="黑体" w:hAnsi="黑体" w:eastAsia="黑体" w:cs="仿宋_GB2312"/>
          <w:sz w:val="32"/>
          <w:szCs w:val="32"/>
        </w:rPr>
        <w:t>主要职能</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一</w:t>
      </w:r>
      <w:r>
        <w:rPr>
          <w:rFonts w:hint="eastAsia" w:ascii="仿宋_GB2312" w:hAnsi="黑体" w:eastAsia="仿宋_GB2312" w:cs="仿宋_GB2312"/>
          <w:sz w:val="32"/>
          <w:szCs w:val="32"/>
          <w:highlight w:val="none"/>
          <w:lang w:eastAsia="zh-CN"/>
        </w:rPr>
        <w:t>）负责市民游客中心日常管理和综合保障工作；</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二</w:t>
      </w:r>
      <w:r>
        <w:rPr>
          <w:rFonts w:hint="eastAsia" w:ascii="仿宋_GB2312" w:hAnsi="黑体" w:eastAsia="仿宋_GB2312" w:cs="仿宋_GB2312"/>
          <w:sz w:val="32"/>
          <w:szCs w:val="32"/>
          <w:highlight w:val="none"/>
          <w:lang w:eastAsia="zh-CN"/>
        </w:rPr>
        <w:t>）负责全市旅游信息化、统计、咨询、培训等相关服务工作；</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三</w:t>
      </w:r>
      <w:r>
        <w:rPr>
          <w:rFonts w:hint="eastAsia" w:ascii="仿宋_GB2312" w:hAnsi="黑体" w:eastAsia="仿宋_GB2312" w:cs="仿宋_GB2312"/>
          <w:sz w:val="32"/>
          <w:szCs w:val="32"/>
          <w:highlight w:val="none"/>
          <w:lang w:eastAsia="zh-CN"/>
        </w:rPr>
        <w:t>）承办上级部门交办的其他工作。</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eastAsia="zh-CN"/>
        </w:rPr>
        <w:t>机构设置</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黑体" w:eastAsia="仿宋_GB2312"/>
          <w:sz w:val="32"/>
          <w:szCs w:val="32"/>
          <w:lang w:val="en-US" w:eastAsia="zh-CN"/>
        </w:rPr>
      </w:pPr>
      <w:r>
        <w:rPr>
          <w:rFonts w:hint="eastAsia" w:ascii="仿宋_GB2312" w:hAnsi="黑体" w:eastAsia="仿宋_GB2312"/>
          <w:sz w:val="32"/>
          <w:szCs w:val="32"/>
        </w:rPr>
        <w:t>三亚市市民游客中心</w:t>
      </w:r>
      <w:r>
        <w:rPr>
          <w:rFonts w:hint="eastAsia" w:ascii="仿宋_GB2312" w:hAnsi="黑体" w:eastAsia="仿宋_GB2312"/>
          <w:sz w:val="32"/>
          <w:szCs w:val="32"/>
          <w:lang w:eastAsia="zh-CN"/>
        </w:rPr>
        <w:t>设</w:t>
      </w:r>
      <w:r>
        <w:rPr>
          <w:rFonts w:hint="eastAsia" w:ascii="仿宋_GB2312" w:hAnsi="黑体" w:eastAsia="仿宋_GB2312"/>
          <w:sz w:val="32"/>
          <w:szCs w:val="32"/>
          <w:lang w:val="en-US" w:eastAsia="zh-CN"/>
        </w:rPr>
        <w:t>1个内设机构，事业编制11名，领导职数3名（1正2副科级),其他管理岗位4名，其他专业技术岗位4名。</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eastAsia" w:ascii="仿宋_GB2312" w:hAnsi="黑体" w:eastAsia="仿宋_GB2312"/>
          <w:sz w:val="32"/>
          <w:szCs w:val="32"/>
          <w:lang w:val="en-US" w:eastAsia="zh-CN"/>
        </w:rPr>
      </w:pPr>
      <w:r>
        <w:rPr>
          <w:rFonts w:hint="eastAsia" w:ascii="仿宋_GB2312" w:hAnsi="黑体" w:eastAsia="仿宋_GB2312"/>
          <w:sz w:val="32"/>
          <w:szCs w:val="32"/>
        </w:rPr>
        <w:t>三亚市市民游客中心</w:t>
      </w:r>
      <w:r>
        <w:rPr>
          <w:rFonts w:hint="eastAsia" w:ascii="仿宋_GB2312" w:hAnsi="黑体" w:eastAsia="仿宋_GB2312"/>
          <w:sz w:val="32"/>
          <w:szCs w:val="32"/>
          <w:lang w:val="en-US" w:eastAsia="zh-CN"/>
        </w:rPr>
        <w:t>纳入</w:t>
      </w:r>
      <w:r>
        <w:rPr>
          <w:rFonts w:hint="eastAsia" w:ascii="仿宋_GB2312" w:eastAsia="仿宋_GB2312"/>
          <w:sz w:val="32"/>
          <w:szCs w:val="32"/>
        </w:rPr>
        <w:t>三亚市旅游和文化广电体育局</w:t>
      </w:r>
      <w:r>
        <w:rPr>
          <w:rFonts w:hint="eastAsia" w:ascii="仿宋_GB2312" w:hAnsi="黑体" w:eastAsia="仿宋_GB2312"/>
          <w:sz w:val="32"/>
          <w:szCs w:val="32"/>
          <w:lang w:val="en-US" w:eastAsia="zh-CN"/>
        </w:rPr>
        <w:t>2022年部门预算编制范围。</w:t>
      </w:r>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highlight w:val="none"/>
          <w:lang w:eastAsia="zh-CN"/>
        </w:rPr>
      </w:pPr>
      <w:bookmarkStart w:id="0" w:name="_GoBack"/>
      <w:bookmarkEnd w:id="0"/>
    </w:p>
    <w:p>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sz w:val="32"/>
          <w:szCs w:val="32"/>
          <w:highlight w:val="none"/>
          <w:lang w:eastAsia="zh-CN"/>
        </w:rPr>
      </w:pPr>
    </w:p>
    <w:p>
      <w:pPr>
        <w:jc w:val="center"/>
        <w:rPr>
          <w:rFonts w:hint="eastAsia" w:ascii="黑体" w:hAnsi="黑体" w:eastAsia="黑体" w:cs="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年预</w:t>
      </w:r>
      <w:r>
        <w:rPr>
          <w:rFonts w:hint="eastAsia" w:ascii="黑体" w:hAnsi="黑体" w:eastAsia="黑体"/>
          <w:sz w:val="32"/>
          <w:szCs w:val="32"/>
        </w:rPr>
        <w:t>算情况说明</w:t>
      </w:r>
    </w:p>
    <w:p>
      <w:pPr>
        <w:jc w:val="center"/>
        <w:rPr>
          <w:rFonts w:ascii="黑体" w:hAnsi="黑体" w:eastAsia="黑体"/>
          <w:sz w:val="32"/>
          <w:szCs w:val="32"/>
        </w:rPr>
      </w:pPr>
    </w:p>
    <w:p>
      <w:pPr>
        <w:ind w:firstLine="640" w:firstLineChars="200"/>
        <w:jc w:val="left"/>
        <w:rPr>
          <w:rFonts w:hint="eastAsia" w:ascii="黑体" w:hAnsi="黑体" w:eastAsia="黑体" w:cs="黑体"/>
          <w:sz w:val="32"/>
          <w:szCs w:val="32"/>
        </w:rPr>
      </w:pPr>
      <w:r>
        <w:rPr>
          <w:rFonts w:hint="eastAsia" w:ascii="黑体" w:hAnsi="黑体" w:eastAsia="黑体"/>
          <w:sz w:val="32"/>
          <w:szCs w:val="32"/>
        </w:rPr>
        <w:t>一、</w:t>
      </w:r>
      <w:r>
        <w:rPr>
          <w:rFonts w:hint="eastAsia" w:ascii="黑体" w:hAnsi="黑体" w:eastAsia="黑体" w:cs="黑体"/>
          <w:sz w:val="32"/>
          <w:szCs w:val="32"/>
        </w:rPr>
        <w:t>关于</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三亚市市民游客中心2022年财政拨款收支总预算</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万元，包括</w:t>
      </w:r>
      <w:r>
        <w:rPr>
          <w:rFonts w:hint="eastAsia" w:ascii="仿宋_GB2312" w:hAnsi="黑体" w:eastAsia="仿宋_GB2312"/>
          <w:sz w:val="32"/>
          <w:szCs w:val="32"/>
          <w:highlight w:val="none"/>
        </w:rPr>
        <w:t>文化旅游体育与传媒支出</w:t>
      </w:r>
      <w:r>
        <w:rPr>
          <w:rFonts w:hint="eastAsia" w:ascii="仿宋_GB2312" w:hAnsi="黑体" w:eastAsia="仿宋_GB2312" w:cs="仿宋_GB2312"/>
          <w:sz w:val="32"/>
          <w:szCs w:val="32"/>
          <w:lang w:val="en-US" w:eastAsia="zh-CN"/>
        </w:rPr>
        <w:t>1150.66</w:t>
      </w:r>
      <w:r>
        <w:rPr>
          <w:rFonts w:hint="eastAsia" w:ascii="仿宋_GB2312" w:hAnsi="黑体" w:eastAsia="仿宋_GB2312"/>
          <w:sz w:val="32"/>
          <w:szCs w:val="32"/>
        </w:rPr>
        <w:t>万元、</w:t>
      </w:r>
      <w:r>
        <w:rPr>
          <w:rFonts w:hint="eastAsia" w:ascii="仿宋_GB2312" w:hAnsi="黑体" w:eastAsia="仿宋_GB2312"/>
          <w:sz w:val="32"/>
          <w:szCs w:val="32"/>
          <w:highlight w:val="none"/>
        </w:rPr>
        <w:t>社会保障和就业支出</w:t>
      </w:r>
      <w:r>
        <w:rPr>
          <w:rFonts w:hint="eastAsia" w:ascii="仿宋_GB2312" w:hAnsi="黑体" w:eastAsia="仿宋_GB2312" w:cs="仿宋_GB2312"/>
          <w:sz w:val="32"/>
          <w:szCs w:val="32"/>
          <w:lang w:val="en-US" w:eastAsia="zh-CN"/>
        </w:rPr>
        <w:t>10.78</w:t>
      </w:r>
      <w:r>
        <w:rPr>
          <w:rFonts w:hint="eastAsia" w:ascii="仿宋_GB2312" w:hAnsi="黑体" w:eastAsia="仿宋_GB2312"/>
          <w:sz w:val="32"/>
          <w:szCs w:val="32"/>
        </w:rPr>
        <w:t>万元、</w:t>
      </w:r>
      <w:r>
        <w:rPr>
          <w:rFonts w:hint="eastAsia" w:ascii="仿宋_GB2312" w:hAnsi="黑体" w:eastAsia="仿宋_GB2312"/>
          <w:sz w:val="32"/>
          <w:szCs w:val="32"/>
          <w:highlight w:val="none"/>
        </w:rPr>
        <w:t>卫生健康支出</w:t>
      </w:r>
      <w:r>
        <w:rPr>
          <w:rFonts w:hint="eastAsia" w:ascii="仿宋_GB2312" w:hAnsi="黑体" w:eastAsia="仿宋_GB2312" w:cs="仿宋_GB2312"/>
          <w:sz w:val="32"/>
          <w:szCs w:val="32"/>
          <w:lang w:val="en-US" w:eastAsia="zh-CN"/>
        </w:rPr>
        <w:t>12.76</w:t>
      </w:r>
      <w:r>
        <w:rPr>
          <w:rFonts w:hint="eastAsia" w:ascii="仿宋_GB2312" w:hAnsi="黑体" w:eastAsia="仿宋_GB2312"/>
          <w:sz w:val="32"/>
          <w:szCs w:val="32"/>
        </w:rPr>
        <w:t>万元、</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8.44万元</w:t>
      </w:r>
      <w:r>
        <w:rPr>
          <w:rFonts w:hint="eastAsia" w:ascii="仿宋_GB2312" w:hAnsi="黑体" w:eastAsia="仿宋_GB2312"/>
          <w:sz w:val="32"/>
          <w:szCs w:val="32"/>
        </w:rPr>
        <w:t>。</w:t>
      </w:r>
    </w:p>
    <w:p>
      <w:pPr>
        <w:ind w:firstLine="640"/>
        <w:jc w:val="left"/>
        <w:rPr>
          <w:rFonts w:hint="eastAsia" w:ascii="黑体" w:hAnsi="黑体" w:eastAsia="黑体" w:cs="黑体"/>
          <w:sz w:val="32"/>
          <w:szCs w:val="32"/>
        </w:rPr>
      </w:pPr>
      <w:r>
        <w:rPr>
          <w:rFonts w:hint="eastAsia" w:ascii="黑体" w:hAnsi="黑体" w:eastAsia="黑体"/>
          <w:sz w:val="32"/>
          <w:szCs w:val="32"/>
        </w:rPr>
        <w:t>二、</w:t>
      </w:r>
      <w:r>
        <w:rPr>
          <w:rFonts w:hint="eastAsia" w:ascii="黑体" w:hAnsi="黑体" w:eastAsia="黑体" w:cs="黑体"/>
          <w:sz w:val="32"/>
          <w:szCs w:val="32"/>
        </w:rPr>
        <w:t>关于</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rPr>
        <w:t>三亚市市民游客中心2022年一般公共预算当年拨款</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876.36</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原因：一是</w:t>
      </w:r>
      <w:r>
        <w:rPr>
          <w:rFonts w:hint="eastAsia" w:ascii="仿宋_GB2312" w:hAnsi="黑体" w:eastAsia="仿宋_GB2312"/>
          <w:sz w:val="32"/>
          <w:szCs w:val="32"/>
          <w:highlight w:val="none"/>
          <w:lang w:val="en-US" w:eastAsia="zh-CN"/>
        </w:rPr>
        <w:t>中心新址的</w:t>
      </w:r>
      <w:r>
        <w:rPr>
          <w:rFonts w:hint="eastAsia" w:ascii="仿宋_GB2312" w:hAnsi="黑体" w:eastAsia="仿宋_GB2312"/>
          <w:sz w:val="32"/>
          <w:szCs w:val="32"/>
          <w:highlight w:val="none"/>
          <w:lang w:eastAsia="zh-CN"/>
        </w:rPr>
        <w:t>展厅、运营大厅</w:t>
      </w:r>
      <w:r>
        <w:rPr>
          <w:rFonts w:hint="eastAsia" w:ascii="仿宋_GB2312" w:hAnsi="黑体" w:eastAsia="仿宋_GB2312"/>
          <w:sz w:val="32"/>
          <w:szCs w:val="32"/>
          <w:highlight w:val="none"/>
          <w:lang w:val="en-US" w:eastAsia="zh-CN"/>
        </w:rPr>
        <w:t>及公共区域</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约3000平方米</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属于国有资产，中心只需承担部分工作人员办公场所的租赁事宜，因此2022年房租预算减少；二是中心部分</w:t>
      </w:r>
      <w:r>
        <w:rPr>
          <w:rFonts w:hint="eastAsia" w:ascii="仿宋_GB2312" w:hAnsi="黑体" w:eastAsia="仿宋_GB2312"/>
          <w:sz w:val="32"/>
          <w:szCs w:val="32"/>
          <w:highlight w:val="none"/>
          <w:lang w:eastAsia="zh-CN"/>
        </w:rPr>
        <w:t>工作内容移交三亚市旅游推广局，</w:t>
      </w:r>
      <w:r>
        <w:rPr>
          <w:rFonts w:hint="eastAsia" w:ascii="仿宋_GB2312" w:hAnsi="黑体" w:eastAsia="仿宋_GB2312"/>
          <w:sz w:val="32"/>
          <w:szCs w:val="32"/>
          <w:highlight w:val="none"/>
          <w:lang w:val="en-US" w:eastAsia="zh-CN"/>
        </w:rPr>
        <w:t>因此2022年部分工作经费减少。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文化旅游体育与传媒支出1150.66万元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97.30</w:t>
      </w:r>
      <w:r>
        <w:rPr>
          <w:rFonts w:hint="eastAsia" w:ascii="仿宋_GB2312" w:hAnsi="黑体" w:eastAsia="仿宋_GB2312"/>
          <w:sz w:val="32"/>
          <w:szCs w:val="32"/>
        </w:rPr>
        <w:t>%；</w:t>
      </w:r>
      <w:r>
        <w:rPr>
          <w:rFonts w:hint="eastAsia" w:ascii="仿宋_GB2312" w:hAnsi="黑体" w:eastAsia="仿宋_GB2312"/>
          <w:sz w:val="32"/>
          <w:szCs w:val="32"/>
          <w:highlight w:val="none"/>
        </w:rPr>
        <w:t>社会保障和就业支出</w:t>
      </w:r>
      <w:r>
        <w:rPr>
          <w:rFonts w:hint="eastAsia" w:ascii="仿宋_GB2312" w:hAnsi="黑体" w:eastAsia="仿宋_GB2312" w:cs="仿宋_GB2312"/>
          <w:sz w:val="32"/>
          <w:szCs w:val="32"/>
          <w:lang w:val="en-US" w:eastAsia="zh-CN"/>
        </w:rPr>
        <w:t>10.78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0.91</w:t>
      </w:r>
      <w:r>
        <w:rPr>
          <w:rFonts w:hint="eastAsia" w:ascii="仿宋_GB2312" w:hAnsi="黑体" w:eastAsia="仿宋_GB2312"/>
          <w:sz w:val="32"/>
          <w:szCs w:val="32"/>
        </w:rPr>
        <w:t>%；</w:t>
      </w:r>
      <w:r>
        <w:rPr>
          <w:rFonts w:hint="eastAsia" w:ascii="仿宋_GB2312" w:hAnsi="黑体" w:eastAsia="仿宋_GB2312"/>
          <w:sz w:val="32"/>
          <w:szCs w:val="32"/>
          <w:highlight w:val="none"/>
        </w:rPr>
        <w:t>卫生健康支出</w:t>
      </w:r>
      <w:r>
        <w:rPr>
          <w:rFonts w:hint="eastAsia" w:ascii="仿宋_GB2312" w:hAnsi="黑体" w:eastAsia="仿宋_GB2312" w:cs="仿宋_GB2312"/>
          <w:sz w:val="32"/>
          <w:szCs w:val="32"/>
          <w:lang w:val="en-US" w:eastAsia="zh-CN"/>
        </w:rPr>
        <w:t>12.76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1.08</w:t>
      </w:r>
      <w:r>
        <w:rPr>
          <w:rFonts w:hint="eastAsia" w:ascii="仿宋_GB2312" w:hAnsi="黑体" w:eastAsia="仿宋_GB2312"/>
          <w:sz w:val="32"/>
          <w:szCs w:val="32"/>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8.44万元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0.71</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sz w:val="32"/>
          <w:szCs w:val="32"/>
        </w:rPr>
        <w:t>1.文化旅游体育与传媒支出（类）文化和旅游（款）</w:t>
      </w:r>
      <w:r>
        <w:rPr>
          <w:rFonts w:hint="eastAsia" w:ascii="仿宋_GB2312" w:hAnsi="黑体" w:eastAsia="仿宋_GB2312" w:cs="仿宋_GB2312"/>
          <w:sz w:val="32"/>
          <w:szCs w:val="32"/>
          <w:highlight w:val="none"/>
        </w:rPr>
        <w:t>文化和旅游管理事务（项）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112.96</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rPr>
        <w:t>减少</w:t>
      </w:r>
      <w:r>
        <w:rPr>
          <w:rFonts w:hint="eastAsia" w:ascii="仿宋_GB2312" w:hAnsi="黑体" w:eastAsia="仿宋_GB2312" w:cs="仿宋_GB2312"/>
          <w:sz w:val="32"/>
          <w:szCs w:val="32"/>
          <w:highlight w:val="none"/>
          <w:lang w:val="en-US" w:eastAsia="zh-CN"/>
        </w:rPr>
        <w:t>14.18</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人员减少。</w:t>
      </w:r>
    </w:p>
    <w:p>
      <w:pPr>
        <w:ind w:firstLine="640" w:firstLineChars="200"/>
        <w:rPr>
          <w:rFonts w:hint="eastAsia" w:ascii="仿宋_GB2312" w:hAnsi="黑体" w:eastAsia="仿宋_GB2312"/>
          <w:sz w:val="32"/>
          <w:szCs w:val="32"/>
          <w:highlight w:val="yellow"/>
        </w:rPr>
      </w:pPr>
      <w:r>
        <w:rPr>
          <w:rFonts w:hint="eastAsia" w:ascii="仿宋_GB2312" w:hAnsi="黑体" w:eastAsia="仿宋_GB2312"/>
          <w:sz w:val="32"/>
          <w:szCs w:val="32"/>
        </w:rPr>
        <w:t>2.</w:t>
      </w:r>
      <w:r>
        <w:rPr>
          <w:rFonts w:hint="eastAsia" w:ascii="仿宋_GB2312" w:hAnsi="黑体" w:eastAsia="仿宋_GB2312" w:cs="仿宋_GB2312"/>
          <w:sz w:val="32"/>
          <w:szCs w:val="32"/>
        </w:rPr>
        <w:t>文化旅游体育与传媒支出（类）文化和旅游（款）其他文化和旅游支出（项）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1037.70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993.70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预算（项）调整，</w:t>
      </w:r>
      <w:r>
        <w:rPr>
          <w:rFonts w:hint="eastAsia" w:ascii="仿宋_GB2312" w:hAnsi="黑体" w:eastAsia="仿宋_GB2312"/>
          <w:sz w:val="32"/>
          <w:szCs w:val="32"/>
          <w:lang w:val="en-US" w:eastAsia="zh-CN"/>
        </w:rPr>
        <w:t>2021年</w:t>
      </w:r>
      <w:r>
        <w:rPr>
          <w:rFonts w:hint="eastAsia" w:ascii="仿宋_GB2312" w:hAnsi="黑体" w:eastAsia="仿宋_GB2312" w:cs="仿宋_GB2312"/>
          <w:sz w:val="32"/>
          <w:szCs w:val="32"/>
        </w:rPr>
        <w:t>行政运行（项）</w:t>
      </w:r>
      <w:r>
        <w:rPr>
          <w:rFonts w:hint="eastAsia" w:ascii="仿宋_GB2312" w:hAnsi="黑体" w:eastAsia="仿宋_GB2312" w:cs="仿宋_GB2312"/>
          <w:sz w:val="32"/>
          <w:szCs w:val="32"/>
          <w:lang w:eastAsia="zh-CN"/>
        </w:rPr>
        <w:t>预算在</w:t>
      </w:r>
      <w:r>
        <w:rPr>
          <w:rFonts w:hint="eastAsia" w:ascii="仿宋_GB2312" w:hAnsi="黑体" w:eastAsia="仿宋_GB2312" w:cs="仿宋_GB2312"/>
          <w:sz w:val="32"/>
          <w:szCs w:val="32"/>
          <w:lang w:val="en-US" w:eastAsia="zh-CN"/>
        </w:rPr>
        <w:t>2022年调整到</w:t>
      </w:r>
      <w:r>
        <w:rPr>
          <w:rFonts w:hint="eastAsia" w:ascii="仿宋_GB2312" w:hAnsi="黑体" w:eastAsia="仿宋_GB2312" w:cs="仿宋_GB2312"/>
          <w:sz w:val="32"/>
          <w:szCs w:val="32"/>
        </w:rPr>
        <w:t>其他文化和旅游支出（项）</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highlight w:val="yellow"/>
          <w:lang w:eastAsia="zh-CN"/>
        </w:rPr>
      </w:pPr>
      <w:r>
        <w:rPr>
          <w:rFonts w:hint="eastAsia" w:ascii="仿宋_GB2312" w:hAnsi="黑体" w:eastAsia="仿宋_GB2312" w:cs="仿宋_GB2312"/>
          <w:sz w:val="32"/>
          <w:szCs w:val="32"/>
          <w:lang w:val="en-US" w:eastAsia="zh-CN"/>
        </w:rPr>
        <w:t>3.社会保障和就业支出</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10.78万元，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0.20</w:t>
      </w:r>
      <w:r>
        <w:rPr>
          <w:rFonts w:hint="eastAsia" w:ascii="仿宋_GB2312" w:hAnsi="黑体" w:eastAsia="仿宋_GB2312"/>
          <w:sz w:val="32"/>
          <w:szCs w:val="32"/>
        </w:rPr>
        <w:t>万元，主要是</w:t>
      </w:r>
      <w:r>
        <w:rPr>
          <w:rFonts w:hint="eastAsia" w:ascii="仿宋_GB2312" w:hAnsi="黑体" w:eastAsia="仿宋_GB2312"/>
          <w:sz w:val="32"/>
          <w:szCs w:val="32"/>
          <w:highlight w:val="none"/>
          <w:lang w:eastAsia="zh-CN"/>
        </w:rPr>
        <w:t>人员正常工资晋升。</w:t>
      </w:r>
    </w:p>
    <w:p>
      <w:pPr>
        <w:ind w:firstLine="640"/>
        <w:rPr>
          <w:rFonts w:hint="eastAsia" w:ascii="仿宋_GB2312" w:hAnsi="黑体" w:eastAsia="仿宋_GB2312"/>
          <w:sz w:val="32"/>
          <w:szCs w:val="32"/>
          <w:highlight w:val="yellow"/>
        </w:rPr>
      </w:pPr>
      <w:r>
        <w:rPr>
          <w:rFonts w:hint="eastAsia" w:ascii="仿宋_GB2312" w:hAnsi="黑体" w:eastAsia="仿宋_GB2312"/>
          <w:sz w:val="32"/>
          <w:szCs w:val="32"/>
          <w:highlight w:val="none"/>
          <w:lang w:val="en-US" w:eastAsia="zh-CN"/>
        </w:rPr>
        <w:t>4.卫生健康支出</w:t>
      </w:r>
      <w:r>
        <w:rPr>
          <w:rFonts w:hint="eastAsia" w:ascii="仿宋_GB2312" w:hAnsi="黑体" w:eastAsia="仿宋_GB2312" w:cs="黑体"/>
          <w:sz w:val="32"/>
          <w:szCs w:val="32"/>
        </w:rPr>
        <w:t>（类）行政事业单位医疗（款）事业单位医疗（项）</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5.73万元，</w:t>
      </w:r>
      <w:r>
        <w:rPr>
          <w:rFonts w:hint="eastAsia" w:ascii="仿宋_GB2312" w:hAnsi="黑体" w:eastAsia="仿宋_GB2312"/>
          <w:sz w:val="32"/>
          <w:szCs w:val="32"/>
        </w:rPr>
        <w:t>比上年预算数</w:t>
      </w:r>
      <w:r>
        <w:rPr>
          <w:rFonts w:hint="eastAsia" w:ascii="仿宋_GB2312" w:hAnsi="黑体" w:eastAsia="仿宋_GB2312" w:cs="黑体"/>
          <w:sz w:val="32"/>
          <w:szCs w:val="32"/>
        </w:rPr>
        <w:t>增加</w:t>
      </w:r>
      <w:r>
        <w:rPr>
          <w:rFonts w:hint="eastAsia" w:ascii="仿宋_GB2312" w:hAnsi="黑体" w:eastAsia="仿宋_GB2312" w:cs="黑体"/>
          <w:sz w:val="32"/>
          <w:szCs w:val="32"/>
          <w:lang w:val="en-US" w:eastAsia="zh-CN"/>
        </w:rPr>
        <w:t>0.11</w:t>
      </w:r>
      <w:r>
        <w:rPr>
          <w:rFonts w:hint="eastAsia" w:ascii="仿宋_GB2312" w:hAnsi="黑体" w:eastAsia="仿宋_GB2312"/>
          <w:sz w:val="32"/>
          <w:szCs w:val="32"/>
        </w:rPr>
        <w:t>万元，主要是</w:t>
      </w:r>
      <w:r>
        <w:rPr>
          <w:rFonts w:hint="eastAsia" w:ascii="仿宋_GB2312" w:hAnsi="黑体" w:eastAsia="仿宋_GB2312"/>
          <w:sz w:val="32"/>
          <w:szCs w:val="32"/>
          <w:highlight w:val="none"/>
          <w:lang w:eastAsia="zh-CN"/>
        </w:rPr>
        <w:t>人员正常工资晋升。</w:t>
      </w:r>
    </w:p>
    <w:p>
      <w:pPr>
        <w:ind w:firstLine="640"/>
        <w:rPr>
          <w:rFonts w:hint="eastAsia" w:ascii="仿宋_GB2312" w:hAnsi="黑体" w:eastAsia="仿宋_GB2312"/>
          <w:sz w:val="32"/>
          <w:szCs w:val="32"/>
          <w:highlight w:val="yellow"/>
        </w:rPr>
      </w:pPr>
      <w:r>
        <w:rPr>
          <w:rFonts w:hint="eastAsia" w:ascii="仿宋_GB2312" w:hAnsi="黑体" w:eastAsia="仿宋_GB2312"/>
          <w:sz w:val="32"/>
          <w:szCs w:val="32"/>
          <w:lang w:val="en-US" w:eastAsia="zh-CN"/>
        </w:rPr>
        <w:t>5.卫生健康支出</w:t>
      </w:r>
      <w:r>
        <w:rPr>
          <w:rFonts w:hint="eastAsia" w:ascii="仿宋_GB2312" w:hAnsi="黑体" w:eastAsia="仿宋_GB2312" w:cs="黑体"/>
          <w:sz w:val="32"/>
          <w:szCs w:val="32"/>
        </w:rPr>
        <w:t>（类）行政事业单位医疗（款）公务员医疗补助（项）</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7.03万元，</w:t>
      </w:r>
      <w:r>
        <w:rPr>
          <w:rFonts w:hint="eastAsia" w:ascii="仿宋_GB2312" w:hAnsi="黑体" w:eastAsia="仿宋_GB2312"/>
          <w:sz w:val="32"/>
          <w:szCs w:val="32"/>
        </w:rPr>
        <w:t>比上年预算数</w:t>
      </w:r>
      <w:r>
        <w:rPr>
          <w:rFonts w:hint="eastAsia" w:ascii="仿宋_GB2312" w:hAnsi="黑体" w:eastAsia="仿宋_GB2312" w:cs="黑体"/>
          <w:sz w:val="32"/>
          <w:szCs w:val="32"/>
        </w:rPr>
        <w:t>增加</w:t>
      </w:r>
      <w:r>
        <w:rPr>
          <w:rFonts w:hint="eastAsia" w:ascii="仿宋_GB2312" w:hAnsi="黑体" w:eastAsia="仿宋_GB2312" w:cs="黑体"/>
          <w:sz w:val="32"/>
          <w:szCs w:val="32"/>
          <w:lang w:val="en-US" w:eastAsia="zh-CN"/>
        </w:rPr>
        <w:t>0.13</w:t>
      </w:r>
      <w:r>
        <w:rPr>
          <w:rFonts w:hint="eastAsia" w:ascii="仿宋_GB2312" w:hAnsi="黑体" w:eastAsia="仿宋_GB2312"/>
          <w:sz w:val="32"/>
          <w:szCs w:val="32"/>
        </w:rPr>
        <w:t>万元，主要是</w:t>
      </w:r>
      <w:r>
        <w:rPr>
          <w:rFonts w:hint="eastAsia" w:ascii="仿宋_GB2312" w:hAnsi="黑体" w:eastAsia="仿宋_GB2312"/>
          <w:sz w:val="32"/>
          <w:szCs w:val="32"/>
          <w:highlight w:val="none"/>
          <w:lang w:eastAsia="zh-CN"/>
        </w:rPr>
        <w:t>人员正常工资晋升。</w:t>
      </w:r>
    </w:p>
    <w:p>
      <w:pPr>
        <w:ind w:firstLine="64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6.住房保障支出</w:t>
      </w:r>
      <w:r>
        <w:rPr>
          <w:rFonts w:hint="eastAsia" w:ascii="仿宋_GB2312" w:hAnsi="黑体" w:eastAsia="仿宋_GB2312" w:cs="黑体"/>
          <w:sz w:val="32"/>
          <w:szCs w:val="32"/>
        </w:rPr>
        <w:t>（类）住房改革支出（款）住房公积金（项）</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8.44万元，</w:t>
      </w:r>
      <w:r>
        <w:rPr>
          <w:rFonts w:hint="eastAsia" w:ascii="仿宋_GB2312" w:hAnsi="黑体" w:eastAsia="仿宋_GB2312"/>
          <w:sz w:val="32"/>
          <w:szCs w:val="32"/>
        </w:rPr>
        <w:t>比上年预算数</w:t>
      </w:r>
      <w:r>
        <w:rPr>
          <w:rFonts w:hint="eastAsia" w:ascii="仿宋_GB2312" w:hAnsi="黑体" w:eastAsia="仿宋_GB2312" w:cs="黑体"/>
          <w:sz w:val="32"/>
          <w:szCs w:val="32"/>
        </w:rPr>
        <w:t>增加</w:t>
      </w:r>
      <w:r>
        <w:rPr>
          <w:rFonts w:hint="eastAsia" w:ascii="仿宋_GB2312" w:hAnsi="黑体" w:eastAsia="仿宋_GB2312" w:cs="黑体"/>
          <w:sz w:val="32"/>
          <w:szCs w:val="32"/>
          <w:lang w:val="en-US" w:eastAsia="zh-CN"/>
        </w:rPr>
        <w:t>0.16</w:t>
      </w:r>
      <w:r>
        <w:rPr>
          <w:rFonts w:hint="eastAsia" w:ascii="仿宋_GB2312" w:hAnsi="黑体" w:eastAsia="仿宋_GB2312"/>
          <w:sz w:val="32"/>
          <w:szCs w:val="32"/>
        </w:rPr>
        <w:t>万元，主要是</w:t>
      </w:r>
      <w:r>
        <w:rPr>
          <w:rFonts w:hint="eastAsia" w:ascii="仿宋_GB2312" w:hAnsi="黑体" w:eastAsia="仿宋_GB2312"/>
          <w:sz w:val="32"/>
          <w:szCs w:val="32"/>
          <w:highlight w:val="none"/>
          <w:lang w:eastAsia="zh-CN"/>
        </w:rPr>
        <w:t>人员正常工资晋升。</w:t>
      </w:r>
    </w:p>
    <w:p>
      <w:pPr>
        <w:ind w:firstLine="640"/>
        <w:rPr>
          <w:rFonts w:hint="eastAsia" w:ascii="黑体" w:hAnsi="黑体" w:eastAsia="黑体" w:cs="黑体"/>
          <w:sz w:val="32"/>
          <w:szCs w:val="32"/>
        </w:rPr>
      </w:pPr>
      <w:r>
        <w:rPr>
          <w:rFonts w:hint="eastAsia" w:ascii="黑体" w:hAnsi="黑体" w:eastAsia="黑体"/>
          <w:sz w:val="32"/>
          <w:szCs w:val="32"/>
        </w:rPr>
        <w:t>三、</w:t>
      </w:r>
      <w:r>
        <w:rPr>
          <w:rFonts w:hint="eastAsia" w:ascii="黑体" w:hAnsi="黑体" w:eastAsia="黑体" w:cs="黑体"/>
          <w:sz w:val="32"/>
          <w:szCs w:val="32"/>
        </w:rPr>
        <w:t>关于</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三亚市市民游客中心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144.94</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一</w:t>
      </w:r>
      <w:r>
        <w:rPr>
          <w:rFonts w:hint="eastAsia" w:ascii="仿宋_GB2312" w:hAnsi="黑体" w:eastAsia="仿宋_GB2312"/>
          <w:sz w:val="32"/>
          <w:szCs w:val="32"/>
          <w:lang w:eastAsia="zh-CN"/>
        </w:rPr>
        <w:t>）</w:t>
      </w: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135.35</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绩效工资、机关事业单位基本养老保险缴费、职工基本医疗保险缴费、公务员医疗补助缴费、其他社会保障缴费、住房公积金、医疗费、其他工资福利支出、邮电费、奖励金。</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二</w:t>
      </w:r>
      <w:r>
        <w:rPr>
          <w:rFonts w:hint="eastAsia" w:ascii="仿宋_GB2312" w:hAnsi="黑体" w:eastAsia="仿宋_GB2312"/>
          <w:sz w:val="32"/>
          <w:szCs w:val="32"/>
          <w:lang w:eastAsia="zh-CN"/>
        </w:rPr>
        <w:t>）</w:t>
      </w: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9.6</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其他社会保障缴费、办公费、培训费、工会经费、福利费、其他商品和服务支出</w:t>
      </w:r>
      <w:r>
        <w:rPr>
          <w:rFonts w:hint="eastAsia" w:ascii="仿宋_GB2312" w:hAnsi="黑体" w:eastAsia="仿宋_GB2312"/>
          <w:sz w:val="32"/>
          <w:szCs w:val="32"/>
        </w:rPr>
        <w:t>。</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hd w:val="clear" w:color="auto" w:fill="FFFFFF"/>
        </w:rPr>
        <w:t>“三公”经费预算情况说明</w:t>
      </w:r>
    </w:p>
    <w:p>
      <w:pPr>
        <w:ind w:firstLine="630"/>
        <w:rPr>
          <w:rFonts w:ascii="Times New Roman" w:hAnsi="Times New Roman" w:eastAsia="仿宋_GB2312" w:cs="Times New Roman"/>
          <w:sz w:val="32"/>
          <w:shd w:val="clear" w:color="auto" w:fill="FFFFFF"/>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三亚市市民游客中心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一般公共预算“三公”经费预算，</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三亚市市民游客中心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政府性基金预算“三公”经费预算，</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hd w:val="clear" w:color="auto" w:fill="FFFFFF"/>
        </w:rPr>
        <w:t>政府性基金预算当年拨款情况说明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eastAsia="zh-CN"/>
        </w:rPr>
        <w:t>三亚市市民游客中心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三亚市市民游客中心</w:t>
      </w:r>
      <w:r>
        <w:rPr>
          <w:rFonts w:ascii="仿宋_GB2312" w:hAnsi="黑体" w:eastAsia="仿宋_GB2312" w:cs="仿宋_GB2312"/>
          <w:sz w:val="32"/>
          <w:szCs w:val="32"/>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其他（类）支出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其他支出（类）其他政府性基金及对应专项债务收入安排的支出（款）其他地方自行试点项目收益专项债券收入安排的支出（项）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cs="仿宋_GB2312"/>
          <w:sz w:val="32"/>
          <w:szCs w:val="32"/>
        </w:rPr>
        <w:t>。</w:t>
      </w:r>
    </w:p>
    <w:p>
      <w:pPr>
        <w:ind w:firstLine="640" w:firstLineChars="200"/>
        <w:rPr>
          <w:rFonts w:ascii="仿宋_GB2312" w:hAnsi="黑体" w:eastAsia="仿宋_GB2312"/>
          <w:sz w:val="32"/>
          <w:szCs w:val="32"/>
        </w:rPr>
      </w:pPr>
      <w:r>
        <w:rPr>
          <w:rFonts w:ascii="仿宋_GB2312" w:hAnsi="黑体" w:eastAsia="仿宋_GB2312" w:cs="仿宋_GB2312"/>
          <w:sz w:val="32"/>
          <w:szCs w:val="32"/>
        </w:rPr>
        <w:t xml:space="preserve">1. </w:t>
      </w:r>
      <w:r>
        <w:rPr>
          <w:rFonts w:hint="eastAsia" w:ascii="仿宋_GB2312" w:hAnsi="黑体" w:eastAsia="仿宋_GB2312" w:cs="仿宋_GB2312"/>
          <w:sz w:val="32"/>
          <w:szCs w:val="32"/>
        </w:rPr>
        <w:t>其他支出（类）彩票公益金安排的支出（款）用于体育事业的彩票公益金（项）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s="仿宋_GB2312"/>
          <w:sz w:val="32"/>
          <w:szCs w:val="32"/>
        </w:rPr>
        <w:t>。</w:t>
      </w:r>
    </w:p>
    <w:p>
      <w:pPr>
        <w:ind w:firstLine="640" w:firstLineChars="200"/>
        <w:rPr>
          <w:rFonts w:hint="eastAsia" w:ascii="仿宋_GB2312" w:hAnsi="黑体" w:eastAsia="仿宋_GB2312"/>
          <w:sz w:val="32"/>
          <w:szCs w:val="32"/>
        </w:rPr>
      </w:pP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黑体"/>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按照综合预算原则，三亚市市民游客中心所有收入和支出均纳入部门预算管理。收入包括：一般公共预算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w:t>
      </w:r>
      <w:r>
        <w:rPr>
          <w:rFonts w:hint="eastAsia" w:ascii="仿宋_GB2312" w:hAnsi="黑体" w:eastAsia="仿宋_GB2312" w:cs="仿宋_GB2312"/>
          <w:sz w:val="32"/>
          <w:szCs w:val="32"/>
        </w:rPr>
        <w:t>文化旅游体育与传媒支出、社会保障和就业支出、卫生健康支出、住房保障支出。三亚市市民游客中心2022年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三亚市市民游客中心2022年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876.36</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原因：一是</w:t>
      </w:r>
      <w:r>
        <w:rPr>
          <w:rFonts w:hint="eastAsia" w:ascii="仿宋_GB2312" w:hAnsi="黑体" w:eastAsia="仿宋_GB2312"/>
          <w:sz w:val="32"/>
          <w:szCs w:val="32"/>
          <w:highlight w:val="none"/>
          <w:lang w:val="en-US" w:eastAsia="zh-CN"/>
        </w:rPr>
        <w:t>中心新址的</w:t>
      </w:r>
      <w:r>
        <w:rPr>
          <w:rFonts w:hint="eastAsia" w:ascii="仿宋_GB2312" w:hAnsi="黑体" w:eastAsia="仿宋_GB2312"/>
          <w:sz w:val="32"/>
          <w:szCs w:val="32"/>
          <w:highlight w:val="none"/>
          <w:lang w:eastAsia="zh-CN"/>
        </w:rPr>
        <w:t>展厅、运营大厅</w:t>
      </w:r>
      <w:r>
        <w:rPr>
          <w:rFonts w:hint="eastAsia" w:ascii="仿宋_GB2312" w:hAnsi="黑体" w:eastAsia="仿宋_GB2312"/>
          <w:sz w:val="32"/>
          <w:szCs w:val="32"/>
          <w:highlight w:val="none"/>
          <w:lang w:val="en-US" w:eastAsia="zh-CN"/>
        </w:rPr>
        <w:t>及公共区域</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约3000平方米</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属于国有资产，中心只需承担部分工作人员办公场所的租赁事宜，因此2022年房租预算减少；二是中心部分</w:t>
      </w:r>
      <w:r>
        <w:rPr>
          <w:rFonts w:hint="eastAsia" w:ascii="仿宋_GB2312" w:hAnsi="黑体" w:eastAsia="仿宋_GB2312"/>
          <w:sz w:val="32"/>
          <w:szCs w:val="32"/>
          <w:highlight w:val="none"/>
          <w:lang w:eastAsia="zh-CN"/>
        </w:rPr>
        <w:t>工作内容移交三亚市旅游推广局，</w:t>
      </w:r>
      <w:r>
        <w:rPr>
          <w:rFonts w:hint="eastAsia" w:ascii="仿宋_GB2312" w:hAnsi="黑体" w:eastAsia="仿宋_GB2312"/>
          <w:sz w:val="32"/>
          <w:szCs w:val="32"/>
          <w:highlight w:val="none"/>
          <w:lang w:val="en-US" w:eastAsia="zh-CN"/>
        </w:rPr>
        <w:t>因此2022年部分工作经费减少。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三亚市市民游客中心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三亚市市民游客中心2022年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144.94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12.26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1037.70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87.74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876.36</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原因：一是</w:t>
      </w:r>
      <w:r>
        <w:rPr>
          <w:rFonts w:hint="eastAsia" w:ascii="仿宋_GB2312" w:hAnsi="黑体" w:eastAsia="仿宋_GB2312"/>
          <w:sz w:val="32"/>
          <w:szCs w:val="32"/>
          <w:highlight w:val="none"/>
          <w:lang w:val="en-US" w:eastAsia="zh-CN"/>
        </w:rPr>
        <w:t>中心新址的</w:t>
      </w:r>
      <w:r>
        <w:rPr>
          <w:rFonts w:hint="eastAsia" w:ascii="仿宋_GB2312" w:hAnsi="黑体" w:eastAsia="仿宋_GB2312"/>
          <w:sz w:val="32"/>
          <w:szCs w:val="32"/>
          <w:highlight w:val="none"/>
          <w:lang w:eastAsia="zh-CN"/>
        </w:rPr>
        <w:t>展厅、运营大厅</w:t>
      </w:r>
      <w:r>
        <w:rPr>
          <w:rFonts w:hint="eastAsia" w:ascii="仿宋_GB2312" w:hAnsi="黑体" w:eastAsia="仿宋_GB2312"/>
          <w:sz w:val="32"/>
          <w:szCs w:val="32"/>
          <w:highlight w:val="none"/>
          <w:lang w:val="en-US" w:eastAsia="zh-CN"/>
        </w:rPr>
        <w:t>及公共区域</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约3000平方米</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属于国有资产，中心只需承担部分工作人员办公场所的租赁事宜，因此2022年房租预算减少；二是中心部分</w:t>
      </w:r>
      <w:r>
        <w:rPr>
          <w:rFonts w:hint="eastAsia" w:ascii="仿宋_GB2312" w:hAnsi="黑体" w:eastAsia="仿宋_GB2312"/>
          <w:sz w:val="32"/>
          <w:szCs w:val="32"/>
          <w:highlight w:val="none"/>
          <w:lang w:eastAsia="zh-CN"/>
        </w:rPr>
        <w:t>工作内容移交三亚市旅游推广局，</w:t>
      </w:r>
      <w:r>
        <w:rPr>
          <w:rFonts w:hint="eastAsia" w:ascii="仿宋_GB2312" w:hAnsi="黑体" w:eastAsia="仿宋_GB2312"/>
          <w:sz w:val="32"/>
          <w:szCs w:val="32"/>
          <w:highlight w:val="none"/>
          <w:lang w:val="en-US" w:eastAsia="zh-CN"/>
        </w:rPr>
        <w:t>因此2022年部分工作经费减少。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三亚市市民游客中心属公益一类事业单位，</w:t>
      </w:r>
      <w:r>
        <w:rPr>
          <w:rFonts w:hint="eastAsia" w:ascii="仿宋_GB2312" w:hAnsi="黑体" w:eastAsia="仿宋_GB2312" w:cs="仿宋_GB2312"/>
          <w:sz w:val="32"/>
          <w:szCs w:val="32"/>
          <w:highlight w:val="none"/>
          <w:lang w:eastAsia="zh-CN"/>
        </w:rPr>
        <w:t>2</w:t>
      </w:r>
      <w:r>
        <w:rPr>
          <w:rFonts w:hint="eastAsia" w:ascii="仿宋_GB2312" w:hAnsi="黑体" w:eastAsia="仿宋_GB2312" w:cs="仿宋_GB2312"/>
          <w:sz w:val="32"/>
          <w:szCs w:val="32"/>
          <w:highlight w:val="none"/>
          <w:lang w:val="en-US" w:eastAsia="zh-CN"/>
        </w:rPr>
        <w:t>022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lang w:eastAsia="zh-CN"/>
        </w:rPr>
        <w:t>三亚市市民游客中心无</w:t>
      </w:r>
      <w:r>
        <w:rPr>
          <w:rFonts w:hint="eastAsia" w:ascii="仿宋_GB2312" w:hAnsi="黑体" w:eastAsia="仿宋_GB2312" w:cs="仿宋_GB2312"/>
          <w:sz w:val="32"/>
          <w:szCs w:val="32"/>
          <w:highlight w:val="none"/>
        </w:rPr>
        <w:t>机关运行经费预算</w:t>
      </w:r>
      <w:r>
        <w:rPr>
          <w:rFonts w:hint="eastAsia" w:ascii="仿宋_GB2312" w:hAnsi="黑体" w:eastAsia="仿宋_GB2312"/>
          <w:sz w:val="32"/>
          <w:szCs w:val="32"/>
          <w:highlight w:val="none"/>
        </w:rPr>
        <w:t>。</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2022年三亚市市民游客中心政府采购预算总额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eastAsia="zh-CN"/>
        </w:rPr>
        <w:t>2</w:t>
      </w:r>
      <w:r>
        <w:rPr>
          <w:rFonts w:hint="eastAsia" w:ascii="仿宋_GB2312" w:hAnsi="黑体" w:eastAsia="仿宋_GB2312" w:cs="仿宋_GB2312"/>
          <w:sz w:val="32"/>
          <w:szCs w:val="32"/>
          <w:highlight w:val="none"/>
          <w:lang w:val="en-US" w:eastAsia="zh-CN"/>
        </w:rPr>
        <w:t>021</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eastAsia="zh-CN"/>
        </w:rPr>
        <w:t>三亚市市民游客中心无</w:t>
      </w:r>
      <w:r>
        <w:rPr>
          <w:rFonts w:hint="eastAsia" w:ascii="仿宋_GB2312" w:hAnsi="黑体" w:eastAsia="仿宋_GB2312" w:cs="仿宋_GB2312"/>
          <w:sz w:val="32"/>
          <w:szCs w:val="32"/>
          <w:highlight w:val="none"/>
        </w:rPr>
        <w:t>车辆。单位</w:t>
      </w:r>
      <w:r>
        <w:rPr>
          <w:rFonts w:hint="eastAsia" w:ascii="仿宋_GB2312" w:hAnsi="黑体" w:eastAsia="仿宋_GB2312" w:cs="仿宋_GB2312"/>
          <w:sz w:val="32"/>
          <w:szCs w:val="32"/>
          <w:highlight w:val="none"/>
          <w:lang w:eastAsia="zh-CN"/>
        </w:rPr>
        <w:t>无</w:t>
      </w:r>
      <w:r>
        <w:rPr>
          <w:rFonts w:hint="eastAsia" w:ascii="仿宋_GB2312" w:hAnsi="黑体" w:eastAsia="仿宋_GB2312" w:cs="仿宋_GB2312"/>
          <w:sz w:val="32"/>
          <w:szCs w:val="32"/>
          <w:highlight w:val="none"/>
        </w:rPr>
        <w:t>价值100万元以上设备。</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2022年三亚市市民游客中心</w:t>
      </w:r>
      <w:r>
        <w:rPr>
          <w:rFonts w:hint="eastAsia" w:ascii="仿宋_GB2312" w:hAnsi="黑体" w:eastAsia="仿宋_GB2312" w:cs="仿宋_GB2312"/>
          <w:sz w:val="32"/>
          <w:szCs w:val="32"/>
          <w:lang w:val="en-US" w:eastAsia="zh-CN"/>
        </w:rPr>
        <w:t>19</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1182.64</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Nimbus Roman No9 L">
    <w:altName w:val="Segoe Print"/>
    <w:panose1 w:val="00000000000000000000"/>
    <w:charset w:val="00"/>
    <w:family w:val="auto"/>
    <w:pitch w:val="default"/>
    <w:sig w:usb0="00000000" w:usb1="00000000" w:usb2="00000000" w:usb3="00000000" w:csb0="00000000" w:csb1="00000000"/>
  </w:font>
  <w:font w:name="ˎ̥">
    <w:altName w:val="hakuyoxingshu7000"/>
    <w:panose1 w:val="00000000000000000000"/>
    <w:charset w:val="00"/>
    <w:family w:val="decorative"/>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hakuyoxingshu7000">
    <w:panose1 w:val="02000600000000000000"/>
    <w:charset w:val="86"/>
    <w:family w:val="auto"/>
    <w:pitch w:val="default"/>
    <w:sig w:usb0="FFFFFFFF" w:usb1="E9FFFFFF" w:usb2="0000003F" w:usb3="00000000" w:csb0="603F00FF" w:csb1="FFFF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ˎ̥">
    <w:altName w:val="hakuyoxingshu7000"/>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ˎ̥">
    <w:altName w:val="hakuyoxingshu7000"/>
    <w:panose1 w:val="00000000000000000000"/>
    <w:charset w:val="00"/>
    <w:family w:val="modern"/>
    <w:pitch w:val="default"/>
    <w:sig w:usb0="00000000" w:usb1="00000000" w:usb2="00000000"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ˎ̥">
    <w:altName w:val="hakuyoxingshu7000"/>
    <w:panose1 w:val="00000000000000000000"/>
    <w:charset w:val="00"/>
    <w:family w:val="swiss"/>
    <w:pitch w:val="default"/>
    <w:sig w:usb0="00000000" w:usb1="00000000" w:usb2="00000000"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686442190">
    <w:nsid w:val="DBBAA4CE"/>
    <w:multiLevelType w:val="singleLevel"/>
    <w:tmpl w:val="DBBAA4CE"/>
    <w:lvl w:ilvl="0" w:tentative="1">
      <w:start w:val="1"/>
      <w:numFmt w:val="chineseCounting"/>
      <w:suff w:val="nothing"/>
      <w:lvlText w:val="%1、"/>
      <w:lvlJc w:val="left"/>
      <w:rPr>
        <w:rFonts w:hint="eastAsia"/>
      </w:r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3686442190"/>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0062D"/>
    <w:rsid w:val="03E25652"/>
    <w:rsid w:val="04820339"/>
    <w:rsid w:val="05CC3517"/>
    <w:rsid w:val="07400524"/>
    <w:rsid w:val="084E21D6"/>
    <w:rsid w:val="089D61ED"/>
    <w:rsid w:val="08FF7B56"/>
    <w:rsid w:val="0A651B22"/>
    <w:rsid w:val="0C4D6701"/>
    <w:rsid w:val="0CB30321"/>
    <w:rsid w:val="0E3A0885"/>
    <w:rsid w:val="0E8B24F3"/>
    <w:rsid w:val="0FEB0225"/>
    <w:rsid w:val="1453653E"/>
    <w:rsid w:val="14EC6912"/>
    <w:rsid w:val="14F56237"/>
    <w:rsid w:val="171E2D6F"/>
    <w:rsid w:val="1A4010D3"/>
    <w:rsid w:val="1DA940F0"/>
    <w:rsid w:val="1DB92106"/>
    <w:rsid w:val="1E4E6D07"/>
    <w:rsid w:val="1EA92968"/>
    <w:rsid w:val="1EAF0FD4"/>
    <w:rsid w:val="1FD56631"/>
    <w:rsid w:val="20AA7FA6"/>
    <w:rsid w:val="21CF5160"/>
    <w:rsid w:val="233A0ECA"/>
    <w:rsid w:val="24794D6E"/>
    <w:rsid w:val="24E35E1E"/>
    <w:rsid w:val="27DE6401"/>
    <w:rsid w:val="2833246B"/>
    <w:rsid w:val="28553755"/>
    <w:rsid w:val="29B3783A"/>
    <w:rsid w:val="2AB70455"/>
    <w:rsid w:val="2BA33709"/>
    <w:rsid w:val="2F7808F8"/>
    <w:rsid w:val="32D82FB3"/>
    <w:rsid w:val="36762E5D"/>
    <w:rsid w:val="36AB59C2"/>
    <w:rsid w:val="36D4431E"/>
    <w:rsid w:val="37A16046"/>
    <w:rsid w:val="42882C69"/>
    <w:rsid w:val="44D07479"/>
    <w:rsid w:val="474F4A02"/>
    <w:rsid w:val="49537BBE"/>
    <w:rsid w:val="49B21601"/>
    <w:rsid w:val="4AD2549F"/>
    <w:rsid w:val="4AD521EA"/>
    <w:rsid w:val="4CEA6433"/>
    <w:rsid w:val="4D833518"/>
    <w:rsid w:val="4F977091"/>
    <w:rsid w:val="4FDB66E0"/>
    <w:rsid w:val="525D4B61"/>
    <w:rsid w:val="56B34821"/>
    <w:rsid w:val="56CC6D71"/>
    <w:rsid w:val="58077D5B"/>
    <w:rsid w:val="580A3AA6"/>
    <w:rsid w:val="591A023E"/>
    <w:rsid w:val="5A0C0E70"/>
    <w:rsid w:val="5C55221E"/>
    <w:rsid w:val="5F4E0C8C"/>
    <w:rsid w:val="60073425"/>
    <w:rsid w:val="645A1969"/>
    <w:rsid w:val="66B27C90"/>
    <w:rsid w:val="674B2279"/>
    <w:rsid w:val="6867015B"/>
    <w:rsid w:val="69B43B7D"/>
    <w:rsid w:val="6B084677"/>
    <w:rsid w:val="6C194DB8"/>
    <w:rsid w:val="6C6C4B1C"/>
    <w:rsid w:val="6DC04298"/>
    <w:rsid w:val="71896663"/>
    <w:rsid w:val="7453651D"/>
    <w:rsid w:val="75CA794B"/>
    <w:rsid w:val="76C00174"/>
    <w:rsid w:val="7842118E"/>
    <w:rsid w:val="7A2D340C"/>
    <w:rsid w:val="7CC56239"/>
    <w:rsid w:val="7DEBCAFF"/>
    <w:rsid w:val="7FDB0209"/>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2023-08-09T01:46:26Z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F78B35ECB1684B3F8F543FA56922C603</vt:lpwstr>
  </property>
</Properties>
</file>