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48"/>
          <w:szCs w:val="48"/>
        </w:rPr>
      </w:pPr>
      <w:r>
        <w:rPr>
          <w:rFonts w:hint="eastAsia"/>
          <w:sz w:val="48"/>
          <w:szCs w:val="48"/>
          <w:lang w:val="en-US" w:eastAsia="zh-CN"/>
        </w:rPr>
        <w:t>2022</w:t>
      </w:r>
      <w:r>
        <w:rPr>
          <w:rFonts w:hint="eastAsia"/>
          <w:sz w:val="48"/>
          <w:szCs w:val="48"/>
        </w:rPr>
        <w:t>年</w:t>
      </w:r>
      <w:r>
        <w:rPr>
          <w:rFonts w:hint="eastAsia"/>
          <w:sz w:val="48"/>
          <w:szCs w:val="48"/>
          <w:lang w:val="en-US" w:eastAsia="zh-CN"/>
        </w:rPr>
        <w:t>三亚市土地储备开发中心</w:t>
      </w:r>
      <w:r>
        <w:rPr>
          <w:rFonts w:hint="eastAsia"/>
          <w:sz w:val="48"/>
          <w:szCs w:val="48"/>
        </w:rPr>
        <w:t>预算</w:t>
      </w:r>
    </w:p>
    <w:p>
      <w:pPr>
        <w:ind w:firstLine="1680"/>
        <w:jc w:val="center"/>
        <w:rPr>
          <w:sz w:val="48"/>
          <w:szCs w:val="48"/>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48"/>
          <w:szCs w:val="48"/>
        </w:rPr>
      </w:pPr>
      <w:r>
        <w:rPr>
          <w:rFonts w:hint="eastAsia" w:ascii="黑体" w:hAnsi="黑体" w:eastAsia="黑体"/>
          <w:sz w:val="48"/>
          <w:szCs w:val="48"/>
        </w:rPr>
        <w:t>目录</w:t>
      </w:r>
    </w:p>
    <w:p>
      <w:pPr>
        <w:pStyle w:val="5"/>
        <w:numPr>
          <w:ilvl w:val="0"/>
          <w:numId w:val="1"/>
        </w:numPr>
        <w:ind w:firstLineChars="0"/>
        <w:jc w:val="left"/>
        <w:rPr>
          <w:rFonts w:ascii="黑体" w:hAnsi="黑体" w:eastAsia="黑体"/>
          <w:b w:val="0"/>
          <w:bCs w:val="0"/>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 w:hAnsi="仿宋" w:eastAsia="仿宋" w:cs="仿宋"/>
          <w:b w:val="0"/>
          <w:bCs w:val="0"/>
          <w:sz w:val="32"/>
          <w:szCs w:val="32"/>
          <w:lang w:eastAsia="zh-CN"/>
        </w:rPr>
        <w:t>三亚市土地储备开发中心</w:t>
      </w:r>
      <w:r>
        <w:rPr>
          <w:rFonts w:hint="eastAsia" w:ascii="仿宋" w:hAnsi="仿宋" w:eastAsia="仿宋" w:cs="仿宋"/>
          <w:b w:val="0"/>
          <w:bCs w:val="0"/>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三亚市土地储备开发中心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ind w:firstLine="480" w:firstLineChars="150"/>
        <w:rPr>
          <w:rFonts w:hint="eastAsia"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sz w:val="32"/>
          <w:szCs w:val="32"/>
          <w:lang w:val="en-US" w:eastAsia="zh-CN"/>
        </w:rPr>
        <w:t>(</w:t>
      </w:r>
      <w:r>
        <w:rPr>
          <w:rFonts w:hint="eastAsia" w:ascii="仿宋" w:hAnsi="仿宋" w:eastAsia="仿宋" w:cs="仿宋"/>
          <w:color w:val="000024"/>
          <w:kern w:val="2"/>
          <w:sz w:val="32"/>
          <w:szCs w:val="32"/>
        </w:rPr>
        <w:t>1）依照市政府土地储备委员会的决定和相关法律、法规、规章规定，负责土地储备的各项具体工作。</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（2）根据土地利用和城市总体规划要求，拟定土地收购储备和出让计划，并报市政府土地储备委员会批准后执行。</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（3）依市下达的年度及中长期计划，编制列入土地储备计划的土地资源的调查、统计和整理土地专项规划。</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（4）依照有关规定对国有存量土地及其他需要储备的土地进行拆迁和储备。</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（5）对收购储备的土地进行符合规划的整理和出让前的合理利用。</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（6）筹措运作土地储备的资金。</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（7）负责公开出让土地底价的测算评估。</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（7）监督土地出让交财政专户。</w:t>
      </w:r>
    </w:p>
    <w:p>
      <w:pPr>
        <w:pStyle w:val="6"/>
        <w:ind w:firstLine="480" w:firstLine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（9）定期向社会发布本市经营性土地使用权供求信息、市场行情和指导价格，做好招商引资工作，为境内外投资者提供服务。</w:t>
      </w:r>
    </w:p>
    <w:p>
      <w:pPr>
        <w:pStyle w:val="5"/>
        <w:numPr>
          <w:ilvl w:val="0"/>
          <w:numId w:val="0"/>
        </w:numPr>
        <w:ind w:leftChars="0"/>
        <w:jc w:val="left"/>
        <w:rPr>
          <w:rFonts w:hint="eastAsia" w:ascii="仿宋" w:hAnsi="仿宋" w:eastAsia="仿宋" w:cs="仿宋"/>
          <w:sz w:val="32"/>
          <w:szCs w:val="32"/>
        </w:rPr>
      </w:pPr>
      <w:r>
        <w:rPr>
          <w:rFonts w:hint="eastAsia" w:ascii="仿宋" w:hAnsi="仿宋" w:eastAsia="仿宋" w:cs="仿宋"/>
          <w:color w:val="000024"/>
          <w:kern w:val="2"/>
          <w:sz w:val="32"/>
          <w:szCs w:val="32"/>
          <w:lang w:val="en-US" w:eastAsia="zh-CN"/>
        </w:rPr>
        <w:t xml:space="preserve">  </w:t>
      </w:r>
      <w:r>
        <w:rPr>
          <w:rFonts w:hint="eastAsia" w:ascii="仿宋" w:hAnsi="仿宋" w:eastAsia="仿宋" w:cs="仿宋"/>
          <w:color w:val="000024"/>
          <w:kern w:val="2"/>
          <w:sz w:val="32"/>
          <w:szCs w:val="32"/>
        </w:rPr>
        <w:t>（10）完成市委、市政府交办的其他工作任务。</w:t>
      </w:r>
    </w:p>
    <w:p>
      <w:pPr>
        <w:pStyle w:val="6"/>
        <w:ind w:firstLine="480" w:firstLineChars="150"/>
        <w:rPr>
          <w:rFonts w:hint="eastAsia" w:ascii="仿宋" w:hAnsi="仿宋" w:eastAsia="仿宋" w:cs="仿宋"/>
          <w:color w:val="000024"/>
          <w:kern w:val="2"/>
          <w:sz w:val="32"/>
          <w:szCs w:val="32"/>
        </w:rPr>
      </w:pPr>
      <w:r>
        <w:rPr>
          <w:rFonts w:hint="eastAsia" w:ascii="黑体" w:hAnsi="黑体" w:eastAsia="黑体" w:cs="黑体"/>
          <w:sz w:val="32"/>
          <w:szCs w:val="32"/>
          <w:lang w:eastAsia="zh-CN"/>
        </w:rPr>
        <w:t>二、机构设置</w:t>
      </w:r>
    </w:p>
    <w:p>
      <w:pPr>
        <w:pStyle w:val="6"/>
        <w:ind w:left="315" w:leftChars="15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本单位设置5个内设机构</w:t>
      </w:r>
    </w:p>
    <w:p>
      <w:pPr>
        <w:pStyle w:val="6"/>
        <w:ind w:firstLine="320" w:firstLineChars="10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1）办公室：负责起草和审核有关综合性文件和重要报告；负责会务、秘书事务、信息综合、文电处理、文书档案管理和机要保密工作；负责本单位机构编制、人事、财务和党群等工作；负责日常行政管理工作，制定内部规章制度；负责计划生育、安全保卫等工作；承办人大建议、政协议案提案。</w:t>
      </w:r>
    </w:p>
    <w:p>
      <w:pPr>
        <w:pStyle w:val="6"/>
        <w:ind w:firstLine="320" w:firstLineChars="100"/>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2）综合策划科：负责制定中长期土地储备计划；组织收集经营性土地使用权供求信息、市场行情和指导价格等信息，为投资者提供服务；策划包装储备土地项目，做好招商引资工作；负责办理储备用地各项内业手续，包括储备用地土地性质变更手续、《储备土地权益证》等；负责办理储备用地融资抵押担保手续；负责筹措运作土地专项资金。</w:t>
      </w:r>
    </w:p>
    <w:p>
      <w:pPr>
        <w:pStyle w:val="6"/>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 xml:space="preserve">  （3）开发整理科：负责合理利用出让前的储备用地；负责对需要开发的储备土地进行前期开发整理，使其具备出让条件；负责巡查、防护储备用地等日常管理工作，防止储备用地受到非法侵占。</w:t>
      </w:r>
    </w:p>
    <w:p>
      <w:pPr>
        <w:pStyle w:val="6"/>
        <w:rPr>
          <w:rFonts w:hint="eastAsia" w:ascii="仿宋" w:hAnsi="仿宋" w:eastAsia="仿宋" w:cs="仿宋"/>
          <w:color w:val="000024"/>
          <w:kern w:val="2"/>
          <w:sz w:val="32"/>
          <w:szCs w:val="32"/>
        </w:rPr>
      </w:pPr>
      <w:r>
        <w:rPr>
          <w:rFonts w:hint="eastAsia" w:ascii="仿宋" w:hAnsi="仿宋" w:eastAsia="仿宋" w:cs="仿宋"/>
          <w:color w:val="000024"/>
          <w:kern w:val="2"/>
          <w:sz w:val="32"/>
          <w:szCs w:val="32"/>
        </w:rPr>
        <w:t xml:space="preserve">  （4）储备一科：负责拟定年度土地储备计划，报市政府批准后组织实施；编制储备土地出让计划，由市土地行政主管部门汇总上报市政府批准后统一组织实施供应；负责土地储备的各项前期工作，包括办理储备前期报批手续及协助市土地行政主管部门办理土地供应手续等；负责建立全市土地管理信息系统，建立台账和档案，并进行动态更新；负责组织已储备用地的档案资料管理工作。</w:t>
      </w:r>
    </w:p>
    <w:p>
      <w:pPr>
        <w:pStyle w:val="5"/>
        <w:numPr>
          <w:ilvl w:val="0"/>
          <w:numId w:val="0"/>
        </w:numPr>
        <w:jc w:val="left"/>
        <w:rPr>
          <w:rFonts w:ascii="仿宋_GB2312" w:hAnsi="黑体" w:eastAsia="仿宋_GB2312" w:cs="仿宋_GB2312"/>
          <w:sz w:val="32"/>
          <w:szCs w:val="32"/>
        </w:rPr>
      </w:pPr>
      <w:r>
        <w:rPr>
          <w:rFonts w:hint="eastAsia" w:ascii="仿宋" w:hAnsi="仿宋" w:eastAsia="仿宋" w:cs="仿宋"/>
          <w:color w:val="000024"/>
          <w:kern w:val="2"/>
          <w:sz w:val="32"/>
          <w:szCs w:val="32"/>
          <w:lang w:val="en-US" w:eastAsia="zh-CN"/>
        </w:rPr>
        <w:t xml:space="preserve">  </w:t>
      </w:r>
      <w:r>
        <w:rPr>
          <w:rFonts w:hint="eastAsia" w:ascii="仿宋" w:hAnsi="仿宋" w:eastAsia="仿宋" w:cs="仿宋"/>
          <w:color w:val="000024"/>
          <w:kern w:val="2"/>
          <w:sz w:val="32"/>
          <w:szCs w:val="32"/>
        </w:rPr>
        <w:t>（5）储备二科：负责调查全市范围内土地后备资源；负责实地调查拟储备用地，组织实测算收储费用、制订收储方案等工作；负责收回和收购批准纳入储备的土地；负责协助各区（镇）完成储备用地的征收拆迁等各项收储工作。</w:t>
      </w:r>
      <w:r>
        <w:rPr>
          <w:rFonts w:hint="eastAsia" w:ascii="黑体" w:hAnsi="黑体" w:eastAsia="黑体" w:cs="黑体"/>
          <w:sz w:val="32"/>
          <w:szCs w:val="32"/>
          <w:lang w:val="en-US" w:eastAsia="zh-CN"/>
        </w:rPr>
        <w:t xml:space="preserve">   </w:t>
      </w:r>
    </w:p>
    <w:p>
      <w:pPr>
        <w:numPr>
          <w:ilvl w:val="0"/>
          <w:numId w:val="5"/>
        </w:numPr>
        <w:ind w:firstLine="640" w:firstLineChars="200"/>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三亚市土地储备开发中心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eastAsia="zh-CN"/>
        </w:rPr>
        <w:t>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r>
        <w:rPr>
          <w:rFonts w:hint="eastAsia" w:ascii="仿宋_GB2312" w:hAnsi="黑体" w:eastAsia="仿宋_GB2312"/>
          <w:sz w:val="32"/>
          <w:szCs w:val="32"/>
        </w:rPr>
        <w:t>。</w:t>
      </w:r>
    </w:p>
    <w:p>
      <w:pPr>
        <w:numPr>
          <w:ilvl w:val="0"/>
          <w:numId w:val="6"/>
        </w:numPr>
        <w:ind w:firstLine="640"/>
        <w:jc w:val="left"/>
        <w:rPr>
          <w:rFonts w:hint="eastAsia" w:ascii="黑体" w:hAnsi="黑体" w:eastAsia="黑体"/>
          <w:sz w:val="32"/>
          <w:szCs w:val="32"/>
        </w:rPr>
      </w:pPr>
      <w:r>
        <w:rPr>
          <w:rFonts w:hint="eastAsia" w:ascii="黑体" w:hAnsi="黑体" w:eastAsia="黑体"/>
          <w:sz w:val="32"/>
          <w:szCs w:val="32"/>
        </w:rPr>
        <w:t>关于</w:t>
      </w:r>
      <w:r>
        <w:rPr>
          <w:rFonts w:hint="eastAsia" w:ascii="黑体" w:hAnsi="黑体" w:eastAsia="黑体"/>
          <w:sz w:val="32"/>
          <w:szCs w:val="32"/>
          <w:lang w:eastAsia="zh-CN"/>
        </w:rPr>
        <w:t>三亚市土地储备开发中</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jc w:val="left"/>
        <w:rPr>
          <w:rFonts w:ascii="楷体" w:hAnsi="楷体" w:eastAsia="楷体"/>
          <w:b/>
          <w:bCs/>
          <w:sz w:val="32"/>
          <w:szCs w:val="32"/>
        </w:rPr>
      </w:pPr>
      <w:r>
        <w:rPr>
          <w:rFonts w:hint="eastAsia" w:ascii="楷体" w:hAnsi="楷体" w:eastAsia="楷体"/>
          <w:b/>
          <w:bCs/>
          <w:sz w:val="32"/>
          <w:szCs w:val="32"/>
          <w:lang w:val="en-US" w:eastAsia="zh-CN"/>
        </w:rPr>
        <w:t xml:space="preserve">  </w:t>
      </w:r>
      <w:r>
        <w:rPr>
          <w:rFonts w:hint="eastAsia" w:ascii="楷体" w:hAnsi="楷体" w:eastAsia="楷体"/>
          <w:b/>
          <w:bCs/>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三亚市土地储备开发中心一般公共预算当年拨款</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无上述拨款收入。</w:t>
      </w:r>
    </w:p>
    <w:p>
      <w:pPr>
        <w:ind w:firstLine="640"/>
        <w:jc w:val="left"/>
        <w:rPr>
          <w:rFonts w:ascii="楷体" w:hAnsi="楷体" w:eastAsia="楷体"/>
          <w:b/>
          <w:bCs/>
          <w:sz w:val="32"/>
          <w:szCs w:val="32"/>
        </w:rPr>
      </w:pPr>
      <w:r>
        <w:rPr>
          <w:rFonts w:hint="eastAsia" w:ascii="楷体" w:hAnsi="楷体" w:eastAsia="楷体"/>
          <w:b/>
          <w:bCs/>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主要是无上述拨款情况。</w:t>
      </w:r>
    </w:p>
    <w:p>
      <w:pPr>
        <w:ind w:firstLine="640"/>
        <w:jc w:val="left"/>
        <w:rPr>
          <w:rFonts w:ascii="楷体" w:hAnsi="楷体" w:eastAsia="楷体"/>
          <w:b/>
          <w:bCs/>
          <w:sz w:val="32"/>
          <w:szCs w:val="32"/>
        </w:rPr>
      </w:pPr>
      <w:r>
        <w:rPr>
          <w:rFonts w:hint="eastAsia" w:ascii="楷体" w:hAnsi="楷体" w:eastAsia="楷体"/>
          <w:b/>
          <w:bCs/>
          <w:sz w:val="32"/>
          <w:szCs w:val="32"/>
        </w:rPr>
        <w:t>（三）一般公共预算当年拨款</w:t>
      </w:r>
      <w:r>
        <w:rPr>
          <w:rFonts w:hint="eastAsia" w:ascii="楷体" w:hAnsi="楷体" w:eastAsia="楷体"/>
          <w:b/>
          <w:bCs/>
          <w:sz w:val="32"/>
          <w:szCs w:val="32"/>
          <w:lang w:eastAsia="zh-CN"/>
        </w:rPr>
        <w:t>具体</w:t>
      </w:r>
      <w:r>
        <w:rPr>
          <w:rFonts w:hint="eastAsia" w:ascii="楷体" w:hAnsi="楷体" w:eastAsia="楷体"/>
          <w:b/>
          <w:bCs/>
          <w:sz w:val="32"/>
          <w:szCs w:val="32"/>
        </w:rPr>
        <w:t>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无上述拨款情况。</w:t>
      </w:r>
    </w:p>
    <w:p>
      <w:pPr>
        <w:ind w:firstLine="640" w:firstLineChars="200"/>
        <w:rPr>
          <w:rFonts w:hint="eastAsia" w:ascii="黑体" w:hAnsi="黑体" w:eastAsia="黑体"/>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是无上述拨款情况。</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三亚市土地储备开发中心</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三亚市土地储备开发中心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与上年预算持平。</w:t>
      </w:r>
    </w:p>
    <w:p>
      <w:pPr>
        <w:numPr>
          <w:ilvl w:val="0"/>
          <w:numId w:val="7"/>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Times New Roman"/>
          <w:sz w:val="32"/>
          <w:shd w:val="clear" w:color="auto" w:fill="FFFFFF"/>
          <w:lang w:eastAsia="zh-CN"/>
        </w:rPr>
        <w:t>三亚市土地储备开发中心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无上述拨款情况</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无上述拨款情况</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无上述拨款情况</w:t>
      </w:r>
      <w:r>
        <w:rPr>
          <w:rFonts w:hint="eastAsia" w:ascii="仿宋_GB2312" w:hAnsi="黑体" w:eastAsia="仿宋_GB2312"/>
          <w:sz w:val="32"/>
          <w:szCs w:val="32"/>
        </w:rPr>
        <w:t>。</w:t>
      </w:r>
    </w:p>
    <w:p>
      <w:pPr>
        <w:numPr>
          <w:ilvl w:val="0"/>
          <w:numId w:val="0"/>
        </w:numPr>
        <w:rPr>
          <w:rFonts w:hint="eastAsia" w:ascii="黑体" w:hAnsi="黑体" w:eastAsia="黑体" w:cs="Times New Roman"/>
          <w:sz w:val="32"/>
          <w:shd w:val="clear" w:color="auto" w:fill="FFFFFF"/>
          <w:lang w:val="en-US"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三亚市土地储备开发中心</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、卫生健康支出、自然资源海洋气象等支出、住房保障支出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900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三亚市土地储备开发中心2022</w:t>
      </w:r>
      <w:r>
        <w:rPr>
          <w:rFonts w:hint="eastAsia" w:ascii="黑体" w:hAnsi="黑体" w:eastAsia="黑体" w:cs="Times New Roman"/>
          <w:sz w:val="32"/>
          <w:shd w:val="clear" w:color="auto" w:fill="FFFFFF"/>
        </w:rPr>
        <w:t>年收入预算情况说明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900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900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，与上年预算持平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三亚市土地储备开发中心</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830.64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830.64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比上年减少</w:t>
      </w:r>
      <w:r>
        <w:rPr>
          <w:rFonts w:hint="eastAsia" w:ascii="仿宋_GB2312" w:hAnsi="黑体" w:eastAsia="仿宋_GB2312"/>
          <w:sz w:val="32"/>
          <w:szCs w:val="32"/>
          <w:lang w:val="en-US" w:eastAsia="zh-CN"/>
        </w:rPr>
        <w:t>30.95万元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eastAsia" w:ascii="楷体" w:hAnsi="楷体" w:eastAsia="楷体"/>
          <w:sz w:val="32"/>
          <w:szCs w:val="32"/>
        </w:rPr>
      </w:pPr>
      <w:r>
        <w:rPr>
          <w:rFonts w:hint="eastAsia" w:ascii="仿宋_GB2312" w:hAnsi="黑体" w:eastAsia="仿宋_GB2312" w:cs="仿宋_GB2312"/>
          <w:sz w:val="32"/>
          <w:szCs w:val="32"/>
          <w:lang w:eastAsia="zh-CN"/>
        </w:rPr>
        <w:t>三亚市土地储备开发中心</w:t>
      </w:r>
      <w:r>
        <w:rPr>
          <w:rFonts w:hint="eastAsia" w:ascii="楷体" w:hAnsi="楷体" w:eastAsia="楷体"/>
          <w:color w:val="auto"/>
          <w:sz w:val="32"/>
          <w:szCs w:val="32"/>
          <w:lang w:eastAsia="zh-CN"/>
        </w:rPr>
        <w:t>属于事业单位，无机关运行经费。</w:t>
      </w:r>
      <w:bookmarkStart w:id="0" w:name="_GoBack"/>
      <w:bookmarkEnd w:id="0"/>
    </w:p>
    <w:p>
      <w:pPr>
        <w:ind w:firstLine="640" w:firstLineChars="200"/>
        <w:rPr>
          <w:rFonts w:hint="eastAsia" w:ascii="楷体" w:hAnsi="楷体" w:eastAsia="楷体"/>
          <w:sz w:val="32"/>
          <w:szCs w:val="32"/>
        </w:rPr>
      </w:pP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为0</w:t>
      </w:r>
      <w:r>
        <w:rPr>
          <w:rFonts w:hint="eastAsia" w:ascii="仿宋_GB2312" w:hAnsi="黑体" w:eastAsia="仿宋_GB2312"/>
          <w:sz w:val="32"/>
          <w:szCs w:val="32"/>
        </w:rPr>
        <w:t>万元，其中：</w:t>
      </w:r>
      <w:r>
        <w:rPr>
          <w:rFonts w:hint="eastAsia" w:ascii="仿宋_GB2312" w:hAnsi="黑体" w:eastAsia="仿宋_GB2312"/>
          <w:sz w:val="32"/>
          <w:szCs w:val="32"/>
          <w:lang w:eastAsia="zh-CN"/>
        </w:rPr>
        <w:t>政府采购办公设备预算为</w:t>
      </w:r>
      <w:r>
        <w:rPr>
          <w:rFonts w:hint="eastAsia" w:ascii="仿宋_GB2312" w:hAnsi="黑体" w:eastAsia="仿宋_GB2312"/>
          <w:sz w:val="32"/>
          <w:szCs w:val="32"/>
          <w:lang w:val="en-US" w:eastAsia="zh-CN"/>
        </w:rPr>
        <w:t>0万元</w:t>
      </w:r>
      <w:r>
        <w:rPr>
          <w:rFonts w:hint="eastAsia" w:ascii="仿宋_GB2312" w:hAnsi="黑体" w:eastAsia="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三亚市土地储备开发中心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val="en-US" w:eastAsia="zh-CN"/>
        </w:rPr>
        <w:t xml:space="preserve"> </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2022年</w:t>
      </w:r>
      <w:r>
        <w:rPr>
          <w:rFonts w:hint="eastAsia" w:ascii="仿宋_GB2312" w:hAnsi="黑体" w:eastAsia="仿宋_GB2312" w:cs="仿宋_GB2312"/>
          <w:sz w:val="32"/>
          <w:szCs w:val="32"/>
          <w:lang w:eastAsia="zh-CN"/>
        </w:rPr>
        <w:t>三亚市土地储备开发中心</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w:t>
      </w:r>
      <w:r>
        <w:rPr>
          <w:rFonts w:hint="eastAsia" w:ascii="仿宋_GB2312" w:hAnsi="黑体" w:eastAsia="仿宋_GB2312" w:cs="仿宋_GB2312"/>
          <w:sz w:val="32"/>
          <w:szCs w:val="32"/>
          <w:highlight w:val="none"/>
        </w:rPr>
        <w:t>，涉及</w:t>
      </w:r>
      <w:r>
        <w:rPr>
          <w:rFonts w:hint="eastAsia" w:ascii="仿宋_GB2312" w:hAnsi="黑体" w:eastAsia="仿宋_GB2312" w:cs="仿宋_GB2312"/>
          <w:sz w:val="32"/>
          <w:szCs w:val="32"/>
          <w:highlight w:val="none"/>
          <w:lang w:eastAsia="zh-CN"/>
        </w:rPr>
        <w:t>部门预算支出费用为</w:t>
      </w:r>
      <w:r>
        <w:rPr>
          <w:rFonts w:hint="eastAsia" w:ascii="仿宋_GB2312" w:hAnsi="黑体" w:eastAsia="仿宋_GB2312" w:cs="仿宋_GB2312"/>
          <w:sz w:val="32"/>
          <w:szCs w:val="32"/>
          <w:highlight w:val="none"/>
          <w:lang w:val="en-US" w:eastAsia="zh-CN"/>
        </w:rPr>
        <w:t>830.64万元。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运行经费：为保障</w:t>
      </w:r>
      <w:r>
        <w:rPr>
          <w:rFonts w:hint="eastAsia" w:ascii="仿宋_GB2312" w:hAnsi="宋体" w:eastAsia="仿宋_GB2312" w:cs="宋体"/>
          <w:color w:val="000000"/>
          <w:kern w:val="0"/>
          <w:sz w:val="32"/>
          <w:szCs w:val="30"/>
          <w:lang w:eastAsia="zh-CN"/>
        </w:rPr>
        <w:t>事业</w:t>
      </w:r>
      <w:r>
        <w:rPr>
          <w:rFonts w:hint="eastAsia" w:ascii="仿宋_GB2312" w:hAnsi="宋体" w:eastAsia="仿宋_GB2312" w:cs="宋体"/>
          <w:color w:val="000000"/>
          <w:kern w:val="0"/>
          <w:sz w:val="32"/>
          <w:szCs w:val="30"/>
        </w:rPr>
        <w:t>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2AB157"/>
    <w:multiLevelType w:val="singleLevel"/>
    <w:tmpl w:val="5A2AB157"/>
    <w:lvl w:ilvl="0" w:tentative="0">
      <w:start w:val="2"/>
      <w:numFmt w:val="chineseCounting"/>
      <w:suff w:val="space"/>
      <w:lvlText w:val="第%1部分"/>
      <w:lvlJc w:val="left"/>
      <w:rPr>
        <w:rFonts w:hint="eastAsia"/>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49C65A"/>
    <w:multiLevelType w:val="singleLevel"/>
    <w:tmpl w:val="6049C65A"/>
    <w:lvl w:ilvl="0" w:tentative="0">
      <w:start w:val="2"/>
      <w:numFmt w:val="chineseCounting"/>
      <w:suff w:val="nothing"/>
      <w:lvlText w:val="%1、"/>
      <w:lvlJc w:val="left"/>
    </w:lvl>
  </w:abstractNum>
  <w:abstractNum w:abstractNumId="5">
    <w:nsid w:val="6049C7A9"/>
    <w:multiLevelType w:val="singleLevel"/>
    <w:tmpl w:val="6049C7A9"/>
    <w:lvl w:ilvl="0" w:tentative="0">
      <w:start w:val="5"/>
      <w:numFmt w:val="chineseCounting"/>
      <w:suff w:val="nothing"/>
      <w:lvlText w:val="%1、"/>
      <w:lvlJc w:val="left"/>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05C7D"/>
    <w:rsid w:val="00470F18"/>
    <w:rsid w:val="021E2D72"/>
    <w:rsid w:val="0659491B"/>
    <w:rsid w:val="08750A6F"/>
    <w:rsid w:val="08C81E10"/>
    <w:rsid w:val="08D0652E"/>
    <w:rsid w:val="0D1E5005"/>
    <w:rsid w:val="1032270C"/>
    <w:rsid w:val="12EC123C"/>
    <w:rsid w:val="134472A2"/>
    <w:rsid w:val="190D17E3"/>
    <w:rsid w:val="19FE2629"/>
    <w:rsid w:val="1C611A51"/>
    <w:rsid w:val="1DA25D9C"/>
    <w:rsid w:val="1E4B3CBF"/>
    <w:rsid w:val="1F82768D"/>
    <w:rsid w:val="23DA2DD4"/>
    <w:rsid w:val="23FD5A6E"/>
    <w:rsid w:val="253070E5"/>
    <w:rsid w:val="2747374C"/>
    <w:rsid w:val="27C322EE"/>
    <w:rsid w:val="2A9B216A"/>
    <w:rsid w:val="2E3945D8"/>
    <w:rsid w:val="33EB7B3E"/>
    <w:rsid w:val="34876C83"/>
    <w:rsid w:val="37185E47"/>
    <w:rsid w:val="38CB4B91"/>
    <w:rsid w:val="3B105C7D"/>
    <w:rsid w:val="3B5A1CD9"/>
    <w:rsid w:val="3EFFCCD4"/>
    <w:rsid w:val="417E18D4"/>
    <w:rsid w:val="434E37D0"/>
    <w:rsid w:val="44466920"/>
    <w:rsid w:val="46903032"/>
    <w:rsid w:val="46DC29C6"/>
    <w:rsid w:val="4897633E"/>
    <w:rsid w:val="48F67C52"/>
    <w:rsid w:val="4B0670B9"/>
    <w:rsid w:val="4B20058A"/>
    <w:rsid w:val="4DCA24FC"/>
    <w:rsid w:val="4EF85D29"/>
    <w:rsid w:val="4F372D3B"/>
    <w:rsid w:val="4F9C0899"/>
    <w:rsid w:val="506808D6"/>
    <w:rsid w:val="53AB54D4"/>
    <w:rsid w:val="54F12D51"/>
    <w:rsid w:val="57FE483F"/>
    <w:rsid w:val="58620E89"/>
    <w:rsid w:val="5D48548C"/>
    <w:rsid w:val="5EA313C1"/>
    <w:rsid w:val="5F0114C1"/>
    <w:rsid w:val="6014600E"/>
    <w:rsid w:val="606D5BA2"/>
    <w:rsid w:val="61934B76"/>
    <w:rsid w:val="61F01E7E"/>
    <w:rsid w:val="66484743"/>
    <w:rsid w:val="66A24F79"/>
    <w:rsid w:val="6ABF42EC"/>
    <w:rsid w:val="70201B46"/>
    <w:rsid w:val="70EA0223"/>
    <w:rsid w:val="736C5965"/>
    <w:rsid w:val="772F49EA"/>
    <w:rsid w:val="77FAFF44"/>
    <w:rsid w:val="78A72CB6"/>
    <w:rsid w:val="7C191236"/>
    <w:rsid w:val="7EFC5305"/>
    <w:rsid w:val="DD5F9107"/>
    <w:rsid w:val="FB7EAE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 w:type="paragraph" w:customStyle="1" w:styleId="6">
    <w:name w:val="msonospacing"/>
    <w:basedOn w:val="1"/>
    <w:qFormat/>
    <w:uiPriority w:val="0"/>
    <w:pPr>
      <w:widowControl/>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2021-03-12T15:26:00Z</dcterms:created>
  <dc:creator>Administrator</dc:creator>
  <cp:lastModifiedBy>user</cp:lastModifiedBy>
  <dcterms:modified xsi:type="dcterms:W3CDTF">2023-11-03T17:05:00Z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