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三亚市投资评审中心2022年单位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三亚市投资评审中心</w:t>
      </w:r>
      <w:r>
        <w:rPr>
          <w:rFonts w:hint="eastAsia" w:ascii="黑体" w:hAnsi="黑体" w:eastAsia="黑体"/>
          <w:sz w:val="32"/>
          <w:szCs w:val="32"/>
        </w:rPr>
        <w:t>概况</w:t>
      </w:r>
    </w:p>
    <w:p>
      <w:pPr>
        <w:pStyle w:val="6"/>
        <w:numPr>
          <w:ilvl w:val="0"/>
          <w:numId w:val="2"/>
        </w:numPr>
        <w:ind w:leftChars="0" w:firstLine="320" w:firstLineChars="1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主要职能</w:t>
      </w:r>
    </w:p>
    <w:p>
      <w:pPr>
        <w:pStyle w:val="6"/>
        <w:numPr>
          <w:ilvl w:val="0"/>
          <w:numId w:val="2"/>
        </w:numPr>
        <w:ind w:leftChars="0" w:firstLine="320" w:firstLineChars="1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三亚市投资评审中心</w:t>
      </w:r>
      <w:r>
        <w:rPr>
          <w:rFonts w:hint="eastAsia" w:ascii="黑体" w:hAnsi="黑体" w:eastAsia="黑体"/>
          <w:sz w:val="32"/>
          <w:szCs w:val="32"/>
          <w:lang w:val="en-US" w:eastAsia="zh-CN"/>
        </w:rPr>
        <w:t>2022年</w:t>
      </w:r>
      <w:r>
        <w:rPr>
          <w:rFonts w:hint="eastAsia" w:ascii="黑体" w:hAnsi="黑体" w:eastAsia="黑体"/>
          <w:sz w:val="32"/>
          <w:szCs w:val="32"/>
        </w:rPr>
        <w:t>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三亚市投资评审中心</w:t>
      </w:r>
      <w:r>
        <w:rPr>
          <w:rFonts w:hint="eastAsia" w:ascii="黑体" w:hAnsi="黑体" w:eastAsia="黑体"/>
          <w:sz w:val="32"/>
          <w:szCs w:val="32"/>
          <w:lang w:val="en-US" w:eastAsia="zh-CN"/>
        </w:rPr>
        <w:t>2022年单位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三亚市投资评审中心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ind w:left="0" w:firstLine="0" w:firstLineChars="0"/>
        <w:jc w:val="left"/>
        <w:rPr>
          <w:rStyle w:val="10"/>
          <w:rFonts w:hint="eastAsia" w:ascii="仿宋" w:hAnsi="仿宋" w:eastAsia="仿宋" w:cs="仿宋"/>
          <w:sz w:val="32"/>
          <w:szCs w:val="32"/>
        </w:rPr>
      </w:pPr>
      <w:r>
        <w:rPr>
          <w:rStyle w:val="10"/>
          <w:rFonts w:hint="eastAsia" w:ascii="仿宋" w:hAnsi="仿宋" w:eastAsia="仿宋" w:cs="仿宋"/>
          <w:sz w:val="32"/>
          <w:szCs w:val="32"/>
          <w:lang w:val="en-US" w:eastAsia="zh-CN"/>
        </w:rPr>
        <w:t xml:space="preserve">     </w:t>
      </w:r>
      <w:r>
        <w:rPr>
          <w:rStyle w:val="10"/>
          <w:rFonts w:hint="eastAsia" w:ascii="仿宋" w:hAnsi="仿宋" w:eastAsia="仿宋" w:cs="仿宋"/>
          <w:sz w:val="32"/>
          <w:szCs w:val="32"/>
        </w:rPr>
        <w:t>负责承担财政性投资项目工程概、预算审查，对市政府投资建设项目竣工决算、材料设备降价处理和工程报废签署审查意见；承担财政性投资的基本建设、技术改造、国土资源勘探等项目的评价咨询工作。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预算单位构成</w:t>
      </w:r>
    </w:p>
    <w:p>
      <w:pPr>
        <w:pStyle w:val="6"/>
        <w:numPr>
          <w:ilvl w:val="-1"/>
          <w:numId w:val="0"/>
        </w:numPr>
        <w:ind w:left="0" w:firstLine="640" w:firstLineChars="200"/>
        <w:jc w:val="left"/>
        <w:rPr>
          <w:rStyle w:val="10"/>
          <w:rFonts w:hint="default" w:ascii="仿宋" w:hAnsi="仿宋" w:eastAsia="仿宋" w:cs="仿宋"/>
          <w:sz w:val="32"/>
          <w:szCs w:val="32"/>
          <w:lang w:val="en-US" w:eastAsia="zh-CN"/>
        </w:rPr>
      </w:pPr>
      <w:bookmarkStart w:id="0" w:name="_GoBack"/>
      <w:r>
        <w:rPr>
          <w:rStyle w:val="10"/>
          <w:rFonts w:ascii="仿宋" w:hAnsi="仿宋" w:eastAsia="仿宋" w:cs="仿宋"/>
          <w:sz w:val="32"/>
          <w:szCs w:val="32"/>
        </w:rPr>
        <w:t>三亚市</w:t>
      </w:r>
      <w:r>
        <w:rPr>
          <w:rStyle w:val="10"/>
          <w:rFonts w:hint="eastAsia" w:ascii="仿宋" w:hAnsi="仿宋" w:eastAsia="仿宋" w:cs="仿宋"/>
          <w:sz w:val="32"/>
          <w:szCs w:val="32"/>
          <w:lang w:eastAsia="zh-CN"/>
        </w:rPr>
        <w:t>投资评审中心</w:t>
      </w:r>
      <w:r>
        <w:rPr>
          <w:rStyle w:val="10"/>
          <w:rFonts w:ascii="仿宋" w:hAnsi="仿宋" w:eastAsia="仿宋" w:cs="仿宋"/>
          <w:sz w:val="32"/>
          <w:szCs w:val="32"/>
        </w:rPr>
        <w:t>单位预算即单位本级预算，没有二级预算单位。内设</w:t>
      </w:r>
      <w:r>
        <w:rPr>
          <w:rStyle w:val="10"/>
          <w:rFonts w:hint="eastAsia" w:ascii="仿宋" w:hAnsi="仿宋" w:eastAsia="仿宋" w:cs="仿宋"/>
          <w:sz w:val="32"/>
          <w:szCs w:val="32"/>
          <w:lang w:eastAsia="zh-CN"/>
        </w:rPr>
        <w:t>综合科</w:t>
      </w:r>
      <w:r>
        <w:rPr>
          <w:rStyle w:val="10"/>
          <w:rFonts w:ascii="仿宋" w:hAnsi="仿宋" w:eastAsia="仿宋" w:cs="仿宋"/>
          <w:sz w:val="32"/>
          <w:szCs w:val="32"/>
        </w:rPr>
        <w:t>、</w:t>
      </w:r>
      <w:r>
        <w:rPr>
          <w:rStyle w:val="10"/>
          <w:rFonts w:hint="eastAsia" w:ascii="仿宋" w:hAnsi="仿宋" w:eastAsia="仿宋" w:cs="仿宋"/>
          <w:sz w:val="32"/>
          <w:szCs w:val="32"/>
          <w:lang w:eastAsia="zh-CN"/>
        </w:rPr>
        <w:t>预算评审科、结算审查科</w:t>
      </w:r>
      <w:r>
        <w:rPr>
          <w:rStyle w:val="10"/>
          <w:rFonts w:ascii="仿宋" w:hAnsi="仿宋" w:eastAsia="仿宋" w:cs="仿宋"/>
          <w:sz w:val="32"/>
          <w:szCs w:val="32"/>
        </w:rPr>
        <w:t>等职能科室。市</w:t>
      </w:r>
      <w:r>
        <w:rPr>
          <w:rStyle w:val="10"/>
          <w:rFonts w:hint="eastAsia" w:ascii="仿宋" w:hAnsi="仿宋" w:eastAsia="仿宋" w:cs="仿宋"/>
          <w:sz w:val="32"/>
          <w:szCs w:val="32"/>
          <w:lang w:val="en-US" w:eastAsia="zh-CN"/>
        </w:rPr>
        <w:t>投资评审中心共有编制20个，在编人员15人。</w:t>
      </w:r>
    </w:p>
    <w:bookmarkEnd w:id="0"/>
    <w:p>
      <w:pPr>
        <w:pStyle w:val="6"/>
        <w:jc w:val="left"/>
        <w:rPr>
          <w:rStyle w:val="10"/>
          <w:rFonts w:hint="eastAsia" w:ascii="仿宋" w:hAnsi="仿宋" w:eastAsia="仿宋" w:cs="仿宋"/>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spacing w:val="0"/>
          <w:sz w:val="44"/>
          <w:szCs w:val="44"/>
          <w:lang w:val="en-US" w:eastAsia="zh-CN"/>
        </w:rPr>
      </w:pPr>
      <w:r>
        <w:rPr>
          <w:rFonts w:hint="default" w:ascii="Times New Roman" w:hAnsi="Times New Roman" w:eastAsia="方正小标宋简体" w:cs="Times New Roman"/>
          <w:spacing w:val="0"/>
          <w:sz w:val="44"/>
          <w:szCs w:val="44"/>
          <w:lang w:val="en-US" w:eastAsia="zh-CN"/>
        </w:rPr>
        <w:t xml:space="preserve">第三部分 </w:t>
      </w:r>
      <w:r>
        <w:rPr>
          <w:rFonts w:hint="eastAsia" w:ascii="Times New Roman" w:hAnsi="Times New Roman" w:eastAsia="方正小标宋简体" w:cs="Times New Roman"/>
          <w:spacing w:val="0"/>
          <w:sz w:val="44"/>
          <w:szCs w:val="44"/>
          <w:lang w:val="en-US" w:eastAsia="zh-CN"/>
        </w:rPr>
        <w:t>三亚市投资评审中心</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Times New Roman"/>
          <w:sz w:val="32"/>
          <w:szCs w:val="32"/>
        </w:rPr>
      </w:pPr>
      <w:r>
        <w:rPr>
          <w:rFonts w:hint="eastAsia" w:ascii="Times New Roman" w:hAnsi="Times New Roman" w:eastAsia="方正小标宋简体" w:cs="Times New Roman"/>
          <w:spacing w:val="0"/>
          <w:sz w:val="44"/>
          <w:szCs w:val="44"/>
          <w:lang w:val="en-US" w:eastAsia="zh-CN"/>
        </w:rPr>
        <w:t xml:space="preserve"> </w:t>
      </w:r>
      <w:r>
        <w:rPr>
          <w:rFonts w:hint="default" w:ascii="Times New Roman" w:hAnsi="Times New Roman" w:eastAsia="方正小标宋简体" w:cs="Times New Roman"/>
          <w:spacing w:val="0"/>
          <w:sz w:val="44"/>
          <w:szCs w:val="44"/>
          <w:lang w:val="en-US" w:eastAsia="zh-CN"/>
        </w:rPr>
        <w:t>202</w:t>
      </w:r>
      <w:r>
        <w:rPr>
          <w:rFonts w:hint="eastAsia" w:ascii="Times New Roman" w:hAnsi="Times New Roman" w:eastAsia="方正小标宋简体" w:cs="Times New Roman"/>
          <w:spacing w:val="0"/>
          <w:sz w:val="44"/>
          <w:szCs w:val="44"/>
          <w:lang w:val="en-US" w:eastAsia="zh-CN"/>
        </w:rPr>
        <w:t>2</w:t>
      </w:r>
      <w:r>
        <w:rPr>
          <w:rFonts w:hint="default" w:ascii="Times New Roman" w:hAnsi="Times New Roman" w:eastAsia="方正小标宋简体" w:cs="Times New Roman"/>
          <w:spacing w:val="0"/>
          <w:sz w:val="44"/>
          <w:szCs w:val="44"/>
          <w:lang w:val="en-US" w:eastAsia="zh-CN"/>
        </w:rPr>
        <w:t>年单位预算情况说明</w:t>
      </w:r>
    </w:p>
    <w:p>
      <w:pPr>
        <w:ind w:firstLine="480" w:firstLineChars="150"/>
        <w:rPr>
          <w:rFonts w:ascii="黑体" w:hAnsi="黑体" w:eastAsia="黑体"/>
          <w:sz w:val="32"/>
          <w:szCs w:val="32"/>
        </w:rPr>
      </w:pP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三亚市投资评审中心</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1086.85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1086.85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1086.85</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1086.85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1065.61</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13.8万元、卫生健康支出4.48万元、住房保障支出2.95万元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三亚市投资评审中心</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1086.85</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比上年预算增加</w:t>
      </w:r>
      <w:r>
        <w:rPr>
          <w:rFonts w:hint="eastAsia" w:ascii="仿宋_GB2312" w:hAnsi="黑体" w:eastAsia="仿宋_GB2312"/>
          <w:sz w:val="32"/>
          <w:szCs w:val="32"/>
          <w:lang w:val="en-US" w:eastAsia="zh-CN"/>
        </w:rPr>
        <w:t>86.85万元，主要是2021年底，三亚市投资评审中心新招了人员，正常的人员经费增加。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一般公共服务（类）支出1065.61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98.05</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13.8万元，占1.27%</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4.48万元，占0.41%；住房保障支出2.95万元，占0.27%。</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1.一般公共服务（类）财政事务（款）事业运行（项）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65.6万</w:t>
      </w:r>
      <w:r>
        <w:rPr>
          <w:rFonts w:hint="eastAsia" w:ascii="仿宋_GB2312" w:hAnsi="黑体" w:eastAsia="仿宋_GB2312"/>
          <w:sz w:val="32"/>
          <w:szCs w:val="32"/>
        </w:rPr>
        <w:t>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65.6万元</w:t>
      </w:r>
      <w:r>
        <w:rPr>
          <w:rFonts w:hint="eastAsia" w:ascii="仿宋_GB2312" w:hAnsi="黑体" w:eastAsia="仿宋_GB2312"/>
          <w:sz w:val="32"/>
          <w:szCs w:val="32"/>
        </w:rPr>
        <w:t>，</w:t>
      </w:r>
      <w:r>
        <w:rPr>
          <w:rFonts w:hint="eastAsia" w:ascii="仿宋_GB2312" w:hAnsi="黑体" w:eastAsia="仿宋_GB2312"/>
          <w:sz w:val="32"/>
          <w:szCs w:val="32"/>
          <w:lang w:eastAsia="zh-CN"/>
        </w:rPr>
        <w:t>主要是新招聘人员的工资经费增加。</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rPr>
        <w:t>一般公共服务（类）财政事务（款）其他财政事务支出（项）</w:t>
      </w:r>
      <w:r>
        <w:rPr>
          <w:rFonts w:hint="eastAsia" w:ascii="仿宋_GB2312" w:hAnsi="黑体" w:eastAsia="仿宋_GB2312" w:cs="仿宋_GB2312"/>
          <w:sz w:val="32"/>
          <w:szCs w:val="32"/>
          <w:lang w:val="en-US" w:eastAsia="zh-CN"/>
        </w:rPr>
        <w:t>2022年预算数为1000万元，与上年预算持平。</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3.社会保障和就业支出（类）行政事业单位养老支出（款）机关事业单位基本养老保险缴费支出（项）2022年预算数为13.8万元，比上年预算数增加13.8万元，主要</w:t>
      </w:r>
      <w:r>
        <w:rPr>
          <w:rFonts w:hint="eastAsia" w:ascii="仿宋_GB2312" w:hAnsi="黑体" w:eastAsia="仿宋_GB2312"/>
          <w:sz w:val="32"/>
          <w:szCs w:val="32"/>
          <w:lang w:eastAsia="zh-CN"/>
        </w:rPr>
        <w:t>新招聘人员的工资经费增加。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lang w:val="en-US" w:eastAsia="zh-CN"/>
        </w:rPr>
        <w:t>社会保障和就业支出（类）行政事业单位养老支出（款）</w:t>
      </w:r>
      <w:r>
        <w:rPr>
          <w:rFonts w:hint="eastAsia" w:ascii="仿宋" w:hAnsi="仿宋" w:eastAsia="仿宋" w:cs="仿宋"/>
          <w:sz w:val="32"/>
          <w:szCs w:val="32"/>
          <w:lang w:val="en-US" w:eastAsia="zh-CN"/>
        </w:rPr>
        <w:t>机关事业单位职业年金缴费支出（项）2022年预算数10万元，比上年预算数增加10万元，</w:t>
      </w:r>
      <w:r>
        <w:rPr>
          <w:rFonts w:hint="eastAsia" w:ascii="仿宋_GB2312" w:hAnsi="黑体" w:eastAsia="仿宋_GB2312" w:cs="仿宋_GB2312"/>
          <w:sz w:val="32"/>
          <w:szCs w:val="32"/>
          <w:lang w:val="en-US" w:eastAsia="zh-CN"/>
        </w:rPr>
        <w:t>主要</w:t>
      </w:r>
      <w:r>
        <w:rPr>
          <w:rFonts w:hint="eastAsia" w:ascii="仿宋_GB2312" w:hAnsi="黑体" w:eastAsia="仿宋_GB2312"/>
          <w:sz w:val="32"/>
          <w:szCs w:val="32"/>
          <w:lang w:eastAsia="zh-CN"/>
        </w:rPr>
        <w:t>新招聘人员的工资经费增加。</w:t>
      </w:r>
    </w:p>
    <w:p>
      <w:pPr>
        <w:ind w:firstLine="640" w:firstLineChars="200"/>
        <w:rPr>
          <w:rFonts w:hint="eastAsia" w:ascii="仿宋_GB2312" w:hAnsi="黑体" w:eastAsia="仿宋_GB2312"/>
          <w:sz w:val="32"/>
          <w:szCs w:val="32"/>
          <w:lang w:eastAsia="zh-CN"/>
        </w:rPr>
      </w:pPr>
      <w:r>
        <w:rPr>
          <w:rFonts w:hint="eastAsia" w:ascii="仿宋" w:hAnsi="仿宋" w:eastAsia="仿宋" w:cs="仿宋"/>
          <w:sz w:val="32"/>
          <w:szCs w:val="32"/>
          <w:lang w:val="en-US" w:eastAsia="zh-CN"/>
        </w:rPr>
        <w:t>5、卫生健康支出（类）行政事业单位医疗（款）事业单位医疗（项）2022年预算数2.02万元，比上年预算数增加2.02万元，</w:t>
      </w:r>
      <w:r>
        <w:rPr>
          <w:rFonts w:hint="eastAsia" w:ascii="仿宋_GB2312" w:hAnsi="黑体" w:eastAsia="仿宋_GB2312" w:cs="仿宋_GB2312"/>
          <w:sz w:val="32"/>
          <w:szCs w:val="32"/>
          <w:lang w:val="en-US" w:eastAsia="zh-CN"/>
        </w:rPr>
        <w:t>主要</w:t>
      </w:r>
      <w:r>
        <w:rPr>
          <w:rFonts w:hint="eastAsia" w:ascii="仿宋_GB2312" w:hAnsi="黑体" w:eastAsia="仿宋_GB2312"/>
          <w:sz w:val="32"/>
          <w:szCs w:val="32"/>
          <w:lang w:eastAsia="zh-CN"/>
        </w:rPr>
        <w:t>新招聘人员的工资经费增加。</w:t>
      </w:r>
    </w:p>
    <w:p>
      <w:pPr>
        <w:ind w:firstLine="640" w:firstLineChars="200"/>
        <w:rPr>
          <w:rFonts w:hint="eastAsia" w:ascii="仿宋_GB2312" w:hAnsi="黑体" w:eastAsia="仿宋_GB2312"/>
          <w:sz w:val="32"/>
          <w:szCs w:val="32"/>
          <w:lang w:eastAsia="zh-CN"/>
        </w:rPr>
      </w:pPr>
      <w:r>
        <w:rPr>
          <w:rFonts w:hint="eastAsia" w:ascii="仿宋" w:hAnsi="仿宋" w:eastAsia="仿宋" w:cs="仿宋"/>
          <w:sz w:val="32"/>
          <w:szCs w:val="32"/>
          <w:lang w:val="en-US" w:eastAsia="zh-CN"/>
        </w:rPr>
        <w:t>6、卫生健康支出（类）行政事业单位医疗（款）公务员医疗补助（项）2022年预算数2.46万元，比上年预算数增加2.46万元，</w:t>
      </w:r>
      <w:r>
        <w:rPr>
          <w:rFonts w:hint="eastAsia" w:ascii="仿宋_GB2312" w:hAnsi="黑体" w:eastAsia="仿宋_GB2312" w:cs="仿宋_GB2312"/>
          <w:sz w:val="32"/>
          <w:szCs w:val="32"/>
          <w:lang w:val="en-US" w:eastAsia="zh-CN"/>
        </w:rPr>
        <w:t>主要</w:t>
      </w:r>
      <w:r>
        <w:rPr>
          <w:rFonts w:hint="eastAsia" w:ascii="仿宋_GB2312" w:hAnsi="黑体" w:eastAsia="仿宋_GB2312"/>
          <w:sz w:val="32"/>
          <w:szCs w:val="32"/>
          <w:lang w:eastAsia="zh-CN"/>
        </w:rPr>
        <w:t>新招聘人员的工资经费增加。</w:t>
      </w:r>
    </w:p>
    <w:p>
      <w:pPr>
        <w:ind w:firstLine="640" w:firstLineChars="200"/>
        <w:rPr>
          <w:rFonts w:hint="eastAsia" w:ascii="仿宋_GB2312" w:hAnsi="黑体" w:eastAsia="仿宋_GB2312"/>
          <w:sz w:val="32"/>
          <w:szCs w:val="32"/>
          <w:lang w:eastAsia="zh-CN"/>
        </w:rPr>
      </w:pPr>
      <w:r>
        <w:rPr>
          <w:rFonts w:hint="eastAsia" w:ascii="仿宋" w:hAnsi="仿宋" w:eastAsia="仿宋" w:cs="仿宋"/>
          <w:sz w:val="32"/>
          <w:szCs w:val="32"/>
          <w:lang w:val="en-US" w:eastAsia="zh-CN"/>
        </w:rPr>
        <w:t>7、住房保障支出（类）住房改革支出（款）住房公积金（项）2022年预算数2.95万元，比上年增加预算数2.95万元，</w:t>
      </w:r>
      <w:r>
        <w:rPr>
          <w:rFonts w:hint="eastAsia" w:ascii="仿宋_GB2312" w:hAnsi="黑体" w:eastAsia="仿宋_GB2312" w:cs="仿宋_GB2312"/>
          <w:sz w:val="32"/>
          <w:szCs w:val="32"/>
          <w:lang w:val="en-US" w:eastAsia="zh-CN"/>
        </w:rPr>
        <w:t>主要</w:t>
      </w:r>
      <w:r>
        <w:rPr>
          <w:rFonts w:hint="eastAsia" w:ascii="仿宋_GB2312" w:hAnsi="黑体" w:eastAsia="仿宋_GB2312"/>
          <w:sz w:val="32"/>
          <w:szCs w:val="32"/>
          <w:lang w:eastAsia="zh-CN"/>
        </w:rPr>
        <w:t>新招聘人员的工资经费增加。</w:t>
      </w:r>
    </w:p>
    <w:p>
      <w:pPr>
        <w:ind w:firstLine="640" w:firstLineChars="200"/>
        <w:rPr>
          <w:rFonts w:hint="eastAsia" w:ascii="仿宋" w:hAnsi="仿宋" w:eastAsia="仿宋" w:cs="仿宋"/>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三亚市投资评审中心</w:t>
      </w:r>
      <w:r>
        <w:rPr>
          <w:rFonts w:hint="eastAsia" w:ascii="黑体" w:hAnsi="黑体" w:eastAsia="黑体" w:cs="黑体"/>
          <w:sz w:val="32"/>
          <w:szCs w:val="32"/>
          <w:lang w:val="en-US" w:eastAsia="zh-CN"/>
        </w:rPr>
        <w:t>202</w:t>
      </w:r>
      <w:r>
        <w:rPr>
          <w:rFonts w:hint="eastAsia" w:ascii="仿宋_GB2312" w:hAnsi="黑体" w:eastAsia="仿宋_GB2312" w:cs="仿宋_GB2312"/>
          <w:sz w:val="32"/>
          <w:szCs w:val="32"/>
          <w:lang w:val="en-US" w:eastAsia="zh-CN"/>
        </w:rPr>
        <w:t>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86.85</w:t>
      </w:r>
      <w:r>
        <w:rPr>
          <w:rFonts w:hint="eastAsia" w:ascii="仿宋_GB2312" w:hAnsi="黑体" w:eastAsia="仿宋_GB2312"/>
          <w:sz w:val="32"/>
          <w:szCs w:val="32"/>
        </w:rPr>
        <w:t>万元，其中：</w:t>
      </w:r>
    </w:p>
    <w:p>
      <w:pPr>
        <w:ind w:firstLine="640" w:firstLineChars="200"/>
        <w:rPr>
          <w:rFonts w:ascii="仿宋_GB2312" w:hAnsi="黑体" w:eastAsia="仿宋_GB2312"/>
          <w:color w:val="000000" w:themeColor="text1"/>
          <w:sz w:val="32"/>
          <w:szCs w:val="32"/>
          <w:highlight w:val="none"/>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人员经费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76.06</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仿宋_GB2312" w:hAnsi="黑体" w:eastAsia="仿宋_GB2312"/>
          <w:color w:val="000000" w:themeColor="text1"/>
          <w:sz w:val="32"/>
          <w:szCs w:val="32"/>
          <w:highlight w:val="none"/>
          <w:lang w:val="zh-CN"/>
          <w14:textFill>
            <w14:solidFill>
              <w14:schemeClr w14:val="tx1"/>
            </w14:solidFill>
          </w14:textFill>
        </w:rPr>
        <w:t>主要包括：基本工资、津贴补贴、奖金、绩效工资、机关事业单位基本养老保险费、职业年金缴费、职工基本医疗保险缴费、公务员医疗补助缴费、其他社会保障缴费、住房公积金、医疗费、其他工资福利支出。</w:t>
      </w:r>
    </w:p>
    <w:p>
      <w:pPr>
        <w:ind w:firstLine="640" w:firstLineChars="200"/>
        <w:rPr>
          <w:rFonts w:hint="eastAsia" w:ascii="仿宋_GB2312" w:hAnsi="黑体" w:eastAsia="仿宋_GB2312"/>
          <w:color w:val="000000" w:themeColor="text1"/>
          <w:sz w:val="32"/>
          <w:szCs w:val="32"/>
          <w:highlight w:val="none"/>
          <w:lang w:val="zh-CN"/>
          <w14:textFill>
            <w14:solidFill>
              <w14:schemeClr w14:val="tx1"/>
            </w14:solidFill>
          </w14:textFill>
        </w:rPr>
      </w:pPr>
      <w:r>
        <w:rPr>
          <w:rFonts w:hint="eastAsia" w:ascii="仿宋_GB2312" w:hAnsi="黑体" w:eastAsia="仿宋_GB2312"/>
          <w:color w:val="000000" w:themeColor="text1"/>
          <w:sz w:val="32"/>
          <w:szCs w:val="32"/>
          <w:highlight w:val="none"/>
          <w14:textFill>
            <w14:solidFill>
              <w14:schemeClr w14:val="tx1"/>
            </w14:solidFill>
          </w14:textFill>
        </w:rPr>
        <w:t>公用经费</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10.78</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仿宋_GB2312" w:hAnsi="黑体" w:eastAsia="仿宋_GB2312"/>
          <w:color w:val="000000" w:themeColor="text1"/>
          <w:sz w:val="32"/>
          <w:szCs w:val="32"/>
          <w:highlight w:val="none"/>
          <w:lang w:val="zh-CN"/>
          <w14:textFill>
            <w14:solidFill>
              <w14:schemeClr w14:val="tx1"/>
            </w14:solidFill>
          </w14:textFill>
        </w:rPr>
        <w:t>主要包括：办公费、咨询费、邮电费、会议费、培训费、公会经费、福利费、其他交通费用、其他商品和服务支出。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color w:val="auto"/>
          <w:sz w:val="32"/>
          <w:shd w:val="clear" w:color="auto" w:fill="FFFFFF"/>
        </w:rPr>
        <w:t>与上年预算持平</w:t>
      </w:r>
      <w:r>
        <w:rPr>
          <w:rFonts w:hint="default"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color w:val="auto"/>
          <w:sz w:val="32"/>
          <w:shd w:val="clear" w:color="auto" w:fill="FFFFFF"/>
        </w:rPr>
        <w:t>与上年预算持平</w:t>
      </w:r>
      <w:r>
        <w:rPr>
          <w:rFonts w:hint="default"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color w:val="auto"/>
          <w:sz w:val="32"/>
          <w:szCs w:val="32"/>
          <w:lang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年无出国计划安排；公务用车购置及运行费0万元（其中，公务用车购置费0万元，公务用车运行费0万元），与上年预算持平；公务接待费0万元，与上年预算持平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keepNext w:val="0"/>
        <w:keepLines w:val="0"/>
        <w:pageBreakBefore w:val="0"/>
        <w:kinsoku/>
        <w:wordWrap/>
        <w:overflowPunct/>
        <w:topLinePunct w:val="0"/>
        <w:bidi w:val="0"/>
        <w:snapToGrid/>
        <w:spacing w:line="560" w:lineRule="exact"/>
        <w:ind w:firstLine="640"/>
        <w:jc w:val="left"/>
        <w:textAlignment w:val="auto"/>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（一）政府性基金预算当年规模变化情况</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年政府性基金预算当年拨款</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与</w:t>
      </w:r>
      <w:r>
        <w:rPr>
          <w:rFonts w:hint="default" w:ascii="Times New Roman" w:hAnsi="Times New Roman" w:eastAsia="仿宋_GB2312" w:cs="Times New Roman"/>
          <w:color w:val="auto"/>
          <w:sz w:val="32"/>
          <w:szCs w:val="32"/>
        </w:rPr>
        <w:t>上年预算数持平</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p>
    <w:p>
      <w:pPr>
        <w:keepNext w:val="0"/>
        <w:keepLines w:val="0"/>
        <w:pageBreakBefore w:val="0"/>
        <w:kinsoku/>
        <w:wordWrap/>
        <w:overflowPunct/>
        <w:topLinePunct w:val="0"/>
        <w:bidi w:val="0"/>
        <w:snapToGrid/>
        <w:spacing w:line="560" w:lineRule="exact"/>
        <w:ind w:firstLine="640"/>
        <w:jc w:val="left"/>
        <w:textAlignment w:val="auto"/>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w:t>
      </w:r>
      <w:r>
        <w:rPr>
          <w:rFonts w:hint="default" w:ascii="Times New Roman" w:hAnsi="Times New Roman" w:eastAsia="楷体" w:cs="Times New Roman"/>
          <w:color w:val="auto"/>
          <w:sz w:val="32"/>
          <w:szCs w:val="32"/>
          <w:lang w:eastAsia="zh-CN"/>
        </w:rPr>
        <w:t>二</w:t>
      </w:r>
      <w:r>
        <w:rPr>
          <w:rFonts w:hint="default" w:ascii="Times New Roman" w:hAnsi="Times New Roman" w:eastAsia="楷体" w:cs="Times New Roman"/>
          <w:color w:val="auto"/>
          <w:sz w:val="32"/>
          <w:szCs w:val="32"/>
        </w:rPr>
        <w:t>）政府性基金预算当年</w:t>
      </w:r>
      <w:r>
        <w:rPr>
          <w:rFonts w:hint="default" w:ascii="Times New Roman" w:hAnsi="Times New Roman" w:eastAsia="楷体" w:cs="Times New Roman"/>
          <w:color w:val="auto"/>
          <w:sz w:val="32"/>
          <w:szCs w:val="32"/>
          <w:lang w:eastAsia="zh-CN"/>
        </w:rPr>
        <w:t>拨款结构</w:t>
      </w:r>
      <w:r>
        <w:rPr>
          <w:rFonts w:hint="default" w:ascii="Times New Roman" w:hAnsi="Times New Roman" w:eastAsia="楷体" w:cs="Times New Roman"/>
          <w:color w:val="auto"/>
          <w:sz w:val="32"/>
          <w:szCs w:val="32"/>
        </w:rPr>
        <w:t>情况</w:t>
      </w:r>
    </w:p>
    <w:p>
      <w:pPr>
        <w:keepNext w:val="0"/>
        <w:keepLines w:val="0"/>
        <w:pageBreakBefore w:val="0"/>
        <w:kinsoku/>
        <w:wordWrap/>
        <w:overflowPunct/>
        <w:topLinePunct w:val="0"/>
        <w:bidi w:val="0"/>
        <w:snapToGrid/>
        <w:spacing w:line="560" w:lineRule="exact"/>
        <w:ind w:firstLine="64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无</w:t>
      </w:r>
      <w:r>
        <w:rPr>
          <w:rFonts w:hint="default" w:ascii="Times New Roman" w:hAnsi="Times New Roman" w:eastAsia="仿宋_GB2312" w:cs="Times New Roman"/>
          <w:color w:val="auto"/>
          <w:sz w:val="32"/>
          <w:szCs w:val="32"/>
        </w:rPr>
        <w:t>。</w:t>
      </w:r>
    </w:p>
    <w:p>
      <w:pPr>
        <w:keepNext w:val="0"/>
        <w:keepLines w:val="0"/>
        <w:pageBreakBefore w:val="0"/>
        <w:kinsoku/>
        <w:wordWrap/>
        <w:overflowPunct/>
        <w:topLinePunct w:val="0"/>
        <w:bidi w:val="0"/>
        <w:snapToGrid/>
        <w:spacing w:line="560" w:lineRule="exact"/>
        <w:ind w:firstLine="640"/>
        <w:jc w:val="left"/>
        <w:textAlignment w:val="auto"/>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w:t>
      </w:r>
      <w:r>
        <w:rPr>
          <w:rFonts w:hint="default" w:ascii="Times New Roman" w:hAnsi="Times New Roman" w:eastAsia="楷体" w:cs="Times New Roman"/>
          <w:color w:val="auto"/>
          <w:sz w:val="32"/>
          <w:szCs w:val="32"/>
          <w:lang w:eastAsia="zh-CN"/>
        </w:rPr>
        <w:t>三</w:t>
      </w:r>
      <w:r>
        <w:rPr>
          <w:rFonts w:hint="default" w:ascii="Times New Roman" w:hAnsi="Times New Roman" w:eastAsia="楷体" w:cs="Times New Roman"/>
          <w:color w:val="auto"/>
          <w:sz w:val="32"/>
          <w:szCs w:val="32"/>
        </w:rPr>
        <w:t>）政府性基金预算当年</w:t>
      </w:r>
      <w:r>
        <w:rPr>
          <w:rFonts w:hint="default" w:ascii="Times New Roman" w:hAnsi="Times New Roman" w:eastAsia="楷体" w:cs="Times New Roman"/>
          <w:color w:val="auto"/>
          <w:sz w:val="32"/>
          <w:szCs w:val="32"/>
          <w:lang w:eastAsia="zh-CN"/>
        </w:rPr>
        <w:t>拨款具体使用</w:t>
      </w:r>
      <w:r>
        <w:rPr>
          <w:rFonts w:hint="default" w:ascii="Times New Roman" w:hAnsi="Times New Roman" w:eastAsia="楷体" w:cs="Times New Roman"/>
          <w:color w:val="auto"/>
          <w:sz w:val="32"/>
          <w:szCs w:val="32"/>
        </w:rPr>
        <w:t>情况</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无</w:t>
      </w:r>
      <w:r>
        <w:rPr>
          <w:rFonts w:hint="default" w:ascii="Times New Roman" w:hAnsi="Times New Roman" w:eastAsia="仿宋_GB2312" w:cs="Times New Roman"/>
          <w:color w:val="auto"/>
          <w:sz w:val="32"/>
          <w:szCs w:val="32"/>
        </w:rPr>
        <w:t>。</w:t>
      </w:r>
    </w:p>
    <w:p>
      <w:pPr>
        <w:ind w:firstLine="0" w:firstLineChars="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1086.85</w:t>
      </w:r>
      <w:r>
        <w:rPr>
          <w:rFonts w:hint="eastAsia" w:ascii="仿宋_GB2312" w:hAnsi="黑体" w:eastAsia="仿宋_GB2312"/>
          <w:sz w:val="32"/>
          <w:szCs w:val="32"/>
        </w:rPr>
        <w:t>万元。</w:t>
      </w:r>
    </w:p>
    <w:p>
      <w:pPr>
        <w:numPr>
          <w:ilvl w:val="0"/>
          <w:numId w:val="6"/>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Times New Roman"/>
          <w:sz w:val="32"/>
          <w:szCs w:val="22"/>
          <w:shd w:val="clear" w:color="auto" w:fill="FFFFFF"/>
          <w:lang w:eastAsia="zh-CN"/>
        </w:rPr>
        <w:t>三亚市投资评审中心</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w:t>
      </w:r>
    </w:p>
    <w:p>
      <w:pPr>
        <w:numPr>
          <w:ilvl w:val="-1"/>
          <w:numId w:val="0"/>
        </w:numPr>
        <w:ind w:firstLine="0" w:firstLineChars="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 xml:space="preserve">          </w:t>
      </w:r>
      <w:r>
        <w:rPr>
          <w:rFonts w:hint="eastAsia" w:ascii="黑体" w:hAnsi="黑体" w:eastAsia="黑体" w:cs="Times New Roman"/>
          <w:sz w:val="32"/>
          <w:shd w:val="clear" w:color="auto" w:fill="FFFFFF"/>
        </w:rPr>
        <w:t>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1086.85</w:t>
      </w:r>
      <w:r>
        <w:rPr>
          <w:rFonts w:hint="eastAsia" w:ascii="仿宋_GB2312" w:hAnsi="黑体" w:eastAsia="仿宋_GB2312"/>
          <w:sz w:val="32"/>
          <w:szCs w:val="32"/>
        </w:rPr>
        <w:t>万元，其中：经费拨款收入</w:t>
      </w:r>
      <w:r>
        <w:rPr>
          <w:rFonts w:hint="eastAsia" w:ascii="仿宋_GB2312" w:hAnsi="黑体" w:eastAsia="仿宋_GB2312" w:cs="仿宋_GB2312"/>
          <w:sz w:val="32"/>
          <w:szCs w:val="32"/>
        </w:rPr>
        <w:t>1086.85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val="en-US" w:eastAsia="zh-CN"/>
        </w:rPr>
        <w:t>增加</w:t>
      </w:r>
      <w:r>
        <w:rPr>
          <w:rFonts w:hint="eastAsia" w:ascii="仿宋_GB2312" w:hAnsi="黑体" w:eastAsia="仿宋_GB2312"/>
          <w:sz w:val="32"/>
          <w:szCs w:val="32"/>
        </w:rPr>
        <w:t>。</w:t>
      </w:r>
      <w:r>
        <w:rPr>
          <w:rFonts w:hint="eastAsia" w:ascii="仿宋_GB2312" w:hAnsi="黑体" w:eastAsia="仿宋_GB2312"/>
          <w:sz w:val="32"/>
          <w:szCs w:val="32"/>
          <w:lang w:eastAsia="zh-CN"/>
        </w:rPr>
        <w:t>主要是</w:t>
      </w:r>
      <w:r>
        <w:rPr>
          <w:rFonts w:hint="eastAsia" w:ascii="仿宋_GB2312" w:hAnsi="黑体" w:eastAsia="仿宋_GB2312"/>
          <w:sz w:val="32"/>
          <w:szCs w:val="32"/>
          <w:lang w:val="en-US" w:eastAsia="zh-CN"/>
        </w:rPr>
        <w:t>三亚市投资评审中心新招了人员，正常的人员经费增加。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三亚市投资评审中心</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rPr>
        <w:t>1086.85</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rPr>
        <w:t>1086.85</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与</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lang w:eastAsia="zh-CN"/>
        </w:rPr>
        <w:t>增加，主要是</w:t>
      </w:r>
      <w:r>
        <w:rPr>
          <w:rFonts w:hint="eastAsia" w:ascii="仿宋_GB2312" w:hAnsi="黑体" w:eastAsia="仿宋_GB2312"/>
          <w:sz w:val="32"/>
          <w:szCs w:val="32"/>
          <w:lang w:val="en-US" w:eastAsia="zh-CN"/>
        </w:rPr>
        <w:t>三亚市投资评审中心新招了人员，正常的人员经费增加。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公开部门预算时</w:t>
      </w:r>
      <w:r>
        <w:rPr>
          <w:rFonts w:hint="eastAsia" w:ascii="仿宋_GB2312" w:hAnsi="黑体" w:eastAsia="仿宋_GB2312" w:cs="仿宋_GB2312"/>
          <w:sz w:val="32"/>
          <w:szCs w:val="32"/>
        </w:rPr>
        <w:t>罗列</w:t>
      </w:r>
      <w:r>
        <w:rPr>
          <w:rFonts w:hint="eastAsia" w:ascii="仿宋_GB2312" w:hAnsi="黑体" w:eastAsia="仿宋_GB2312" w:cs="仿宋_GB2312"/>
          <w:sz w:val="32"/>
          <w:szCs w:val="32"/>
          <w:lang w:eastAsia="zh-CN"/>
        </w:rPr>
        <w:t>下属</w:t>
      </w:r>
      <w:r>
        <w:rPr>
          <w:rFonts w:hint="eastAsia" w:ascii="仿宋_GB2312" w:hAnsi="黑体" w:eastAsia="仿宋_GB2312" w:cs="仿宋_GB2312"/>
          <w:sz w:val="32"/>
          <w:szCs w:val="32"/>
        </w:rPr>
        <w:t>参照公务员法管理</w:t>
      </w:r>
      <w:r>
        <w:rPr>
          <w:rFonts w:hint="eastAsia" w:ascii="仿宋_GB2312" w:hAnsi="黑体" w:eastAsia="仿宋_GB2312" w:cs="仿宋_GB2312"/>
          <w:sz w:val="32"/>
          <w:szCs w:val="32"/>
          <w:lang w:eastAsia="zh-CN"/>
        </w:rPr>
        <w:t>的事业</w:t>
      </w:r>
      <w:r>
        <w:rPr>
          <w:rFonts w:hint="eastAsia" w:ascii="仿宋_GB2312" w:hAnsi="黑体" w:eastAsia="仿宋_GB2312" w:cs="仿宋_GB2312"/>
          <w:sz w:val="32"/>
          <w:szCs w:val="32"/>
        </w:rPr>
        <w:t>单位）等的机关运行经费预算1086.85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（二）国有资产占有使用情况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rPr>
        <w:t>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w:t>
      </w:r>
      <w:r>
        <w:rPr>
          <w:rFonts w:hint="eastAsia" w:ascii="仿宋_GB2312" w:hAnsi="黑体" w:eastAsia="仿宋_GB2312" w:cs="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）政府采购情况</w:t>
      </w:r>
    </w:p>
    <w:p>
      <w:pPr>
        <w:ind w:firstLine="640" w:firstLineChars="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三亚市投资评审中心</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个项目实行绩效目标管理，涉及一般公共预算1086.85</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52E463"/>
    <w:multiLevelType w:val="singleLevel"/>
    <w:tmpl w:val="F852E463"/>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61AA7F"/>
    <w:multiLevelType w:val="singleLevel"/>
    <w:tmpl w:val="6061AA7F"/>
    <w:lvl w:ilvl="0" w:tentative="0">
      <w:start w:val="7"/>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591145D"/>
    <w:rsid w:val="136D7EA1"/>
    <w:rsid w:val="14B02B39"/>
    <w:rsid w:val="209A2D32"/>
    <w:rsid w:val="2A102EFF"/>
    <w:rsid w:val="315458D2"/>
    <w:rsid w:val="31F67884"/>
    <w:rsid w:val="32C373C3"/>
    <w:rsid w:val="39ED5582"/>
    <w:rsid w:val="45B95B98"/>
    <w:rsid w:val="54DA7B34"/>
    <w:rsid w:val="55BD7C87"/>
    <w:rsid w:val="57437B3D"/>
    <w:rsid w:val="5EFA769F"/>
    <w:rsid w:val="5FA46C35"/>
    <w:rsid w:val="611C3355"/>
    <w:rsid w:val="640E5496"/>
    <w:rsid w:val="72E0056F"/>
    <w:rsid w:val="73E44995"/>
    <w:rsid w:val="78EF711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character" w:customStyle="1" w:styleId="10">
    <w:name w:val="16"/>
    <w:basedOn w:val="5"/>
    <w:qFormat/>
    <w:uiPriority w:val="0"/>
    <w:rPr>
      <w:rFonts w:hint="default" w:ascii="Times New Roman" w:eastAsia="楷体_GB2312" w:cs="楷体_GB2312"/>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王晟楠</cp:lastModifiedBy>
  <dcterms:modified xsi:type="dcterms:W3CDTF">2023-09-28T10:35:28Z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