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sz w:val="84"/>
          <w:szCs w:val="84"/>
          <w:u w:val="single"/>
        </w:rPr>
      </w:pPr>
    </w:p>
    <w:p>
      <w:pPr>
        <w:jc w:val="both"/>
        <w:rPr>
          <w:rFonts w:hint="default" w:ascii="Times New Roman" w:hAnsi="Times New Roman" w:cs="Times New Roman"/>
          <w:sz w:val="84"/>
          <w:szCs w:val="84"/>
          <w:u w:val="single"/>
        </w:rPr>
      </w:pPr>
    </w:p>
    <w:p>
      <w:pPr>
        <w:jc w:val="both"/>
        <w:rPr>
          <w:rFonts w:hint="default" w:ascii="Times New Roman" w:hAnsi="Times New Roman" w:cs="Times New Roman"/>
          <w:sz w:val="84"/>
          <w:szCs w:val="84"/>
          <w:u w:val="single"/>
        </w:rPr>
      </w:pPr>
    </w:p>
    <w:p>
      <w:pPr>
        <w:jc w:val="both"/>
        <w:rPr>
          <w:rFonts w:hint="default" w:ascii="Times New Roman" w:hAnsi="Times New Roman" w:cs="Times New Roman"/>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val="en-US" w:eastAsia="zh-CN"/>
        </w:rPr>
        <w:t>三亚市自贸港法律服务中心</w:t>
      </w: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both"/>
        <w:rPr>
          <w:rFonts w:hint="default" w:ascii="Times New Roman" w:hAnsi="Times New Roman" w:cs="Times New Roman"/>
          <w:sz w:val="84"/>
          <w:szCs w:val="84"/>
        </w:rPr>
      </w:pPr>
    </w:p>
    <w:p>
      <w:pPr>
        <w:ind w:firstLine="1680"/>
        <w:jc w:val="both"/>
        <w:rPr>
          <w:rFonts w:hint="default" w:ascii="Times New Roman" w:hAnsi="Times New Roman" w:cs="Times New Roman"/>
          <w:sz w:val="84"/>
          <w:szCs w:val="84"/>
        </w:rPr>
      </w:pPr>
    </w:p>
    <w:p>
      <w:pPr>
        <w:ind w:firstLine="1680"/>
        <w:jc w:val="both"/>
        <w:rPr>
          <w:rFonts w:hint="default" w:ascii="Times New Roman" w:hAnsi="Times New Roman" w:cs="Times New Roman"/>
          <w:sz w:val="84"/>
          <w:szCs w:val="84"/>
        </w:rPr>
      </w:pPr>
    </w:p>
    <w:p>
      <w:pPr>
        <w:ind w:firstLine="1680"/>
        <w:jc w:val="both"/>
        <w:rPr>
          <w:rFonts w:hint="default" w:ascii="Times New Roman" w:hAnsi="Times New Roman" w:cs="Times New Roman"/>
          <w:sz w:val="84"/>
          <w:szCs w:val="84"/>
        </w:rPr>
      </w:pPr>
    </w:p>
    <w:p>
      <w:pPr>
        <w:ind w:firstLine="1680"/>
        <w:jc w:val="both"/>
        <w:rPr>
          <w:rFonts w:hint="default" w:ascii="Times New Roman" w:hAnsi="Times New Roman" w:cs="Times New Roman"/>
          <w:sz w:val="84"/>
          <w:szCs w:val="84"/>
        </w:rPr>
      </w:pPr>
    </w:p>
    <w:p>
      <w:pPr>
        <w:jc w:val="both"/>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三亚市自贸港法律服务中心</w:t>
      </w:r>
      <w:r>
        <w:rPr>
          <w:rFonts w:hint="default" w:ascii="Times New Roman" w:hAnsi="Times New Roman" w:eastAsia="黑体" w:cs="Times New Roman"/>
          <w:sz w:val="32"/>
          <w:szCs w:val="32"/>
        </w:rPr>
        <w:t>概况</w:t>
      </w:r>
    </w:p>
    <w:p>
      <w:pPr>
        <w:pStyle w:val="4"/>
        <w:numPr>
          <w:ilvl w:val="0"/>
          <w:numId w:val="2"/>
        </w:numPr>
        <w:ind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2"/>
        </w:numPr>
        <w:ind w:firstLineChars="0"/>
        <w:jc w:val="both"/>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机构设置</w:t>
      </w:r>
    </w:p>
    <w:p>
      <w:pPr>
        <w:pStyle w:val="4"/>
        <w:numPr>
          <w:ilvl w:val="0"/>
          <w:numId w:val="1"/>
        </w:numPr>
        <w:ind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4"/>
        <w:numPr>
          <w:ilvl w:val="0"/>
          <w:numId w:val="3"/>
        </w:numPr>
        <w:ind w:firstLineChars="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4"/>
        <w:numPr>
          <w:ilvl w:val="0"/>
          <w:numId w:val="3"/>
        </w:numPr>
        <w:ind w:firstLineChars="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4"/>
        <w:numPr>
          <w:ilvl w:val="0"/>
          <w:numId w:val="3"/>
        </w:numPr>
        <w:ind w:firstLineChars="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left="0" w:firstLine="0" w:firstLineChars="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4"/>
        <w:numPr>
          <w:ilvl w:val="0"/>
          <w:numId w:val="1"/>
        </w:numPr>
        <w:ind w:firstLineChars="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numPr>
          <w:ilvl w:val="0"/>
          <w:numId w:val="0"/>
        </w:numPr>
        <w:ind w:leftChars="0"/>
        <w:jc w:val="both"/>
        <w:rPr>
          <w:rFonts w:hint="default" w:ascii="Times New Roman" w:hAnsi="Times New Roman" w:eastAsia="仿宋_GB2312"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val="en-US" w:eastAsia="zh-CN"/>
        </w:rPr>
        <w:t>三亚市自贸港法律服务中心</w:t>
      </w:r>
      <w:r>
        <w:rPr>
          <w:rFonts w:hint="default" w:ascii="Times New Roman" w:hAnsi="Times New Roman" w:eastAsia="黑体" w:cs="Times New Roman"/>
          <w:sz w:val="32"/>
          <w:szCs w:val="32"/>
        </w:rPr>
        <w:t>概况</w:t>
      </w:r>
    </w:p>
    <w:p>
      <w:pPr>
        <w:jc w:val="both"/>
        <w:rPr>
          <w:rFonts w:hint="default" w:ascii="Times New Roman" w:hAnsi="Times New Roman" w:eastAsia="仿宋_GB2312" w:cs="Times New Roman"/>
          <w:sz w:val="32"/>
          <w:szCs w:val="32"/>
        </w:rPr>
      </w:pPr>
    </w:p>
    <w:p>
      <w:pPr>
        <w:pStyle w:val="4"/>
        <w:numPr>
          <w:ilvl w:val="0"/>
          <w:numId w:val="5"/>
        </w:numPr>
        <w:ind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为构建适应自贸区(港)建设需要的律师、公证、(国际)仲裁、国际商事调解、辅助国际商务敦促履约等法律服务业提供司法保障和服务;</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做好法律服务人才的引进、管理和服务工作，建立、完善、协调使用自贸区(港)法律服务人才库;</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承办政府法律顾问工作联络、协调、服务等事务;</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承办法律援助(涉外)案件的受理、审查、指派、协调、统计上报、信息反馈等工作;</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为司法行政部门归存法律资料，开展调查、研究、宣传、培训、交流等活动提供服务;</w:t>
      </w:r>
    </w:p>
    <w:p>
      <w:pPr>
        <w:pStyle w:val="4"/>
        <w:keepNext w:val="0"/>
        <w:keepLines w:val="0"/>
        <w:pageBreakBefore w:val="0"/>
        <w:widowControl w:val="0"/>
        <w:numPr>
          <w:ilvl w:val="0"/>
          <w:numId w:val="6"/>
        </w:numPr>
        <w:kinsoku/>
        <w:wordWrap/>
        <w:overflowPunct/>
        <w:topLinePunct w:val="0"/>
        <w:autoSpaceDE/>
        <w:autoSpaceDN/>
        <w:bidi w:val="0"/>
        <w:adjustRightInd/>
        <w:snapToGrid/>
        <w:ind w:left="0" w:leftChars="0" w:firstLine="42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承办上级部门交办的其他工作。</w:t>
      </w:r>
    </w:p>
    <w:p>
      <w:pPr>
        <w:pStyle w:val="5"/>
        <w:rPr>
          <w:rFonts w:hint="eastAsia" w:ascii="黑体" w:hAnsi="黑体" w:eastAsia="黑体" w:cs="黑体"/>
          <w:color w:val="000000"/>
          <w:kern w:val="0"/>
          <w:sz w:val="32"/>
          <w:szCs w:val="30"/>
          <w:highlight w:val="none"/>
          <w:lang w:val="en-US" w:eastAsia="zh-CN"/>
        </w:rPr>
      </w:pPr>
      <w:r>
        <w:rPr>
          <w:rFonts w:hint="eastAsia" w:ascii="黑体" w:hAnsi="黑体" w:eastAsia="黑体" w:cs="黑体"/>
          <w:color w:val="000000"/>
          <w:kern w:val="0"/>
          <w:sz w:val="32"/>
          <w:szCs w:val="30"/>
          <w:highlight w:val="none"/>
          <w:lang w:val="en-US" w:eastAsia="zh-CN"/>
        </w:rPr>
        <w:t>二、机构设置</w:t>
      </w:r>
    </w:p>
    <w:p>
      <w:pPr>
        <w:ind w:firstLine="640" w:firstLineChars="200"/>
        <w:jc w:val="left"/>
        <w:rPr>
          <w:rFonts w:hint="default" w:ascii="Times New Roman" w:hAnsi="Times New Roman" w:eastAsia="黑体" w:cs="Times New Roman"/>
          <w:sz w:val="32"/>
          <w:szCs w:val="32"/>
        </w:rPr>
      </w:pPr>
      <w:r>
        <w:rPr>
          <w:rFonts w:hint="eastAsia" w:ascii="仿宋_GB2312" w:hAnsi="ˎ̥" w:eastAsia="仿宋_GB2312" w:cs="Times New Roman"/>
          <w:color w:val="auto"/>
          <w:sz w:val="32"/>
          <w:szCs w:val="32"/>
          <w:lang w:val="en-US" w:eastAsia="zh-CN"/>
        </w:rPr>
        <w:t>三亚市自贸港法律服务中心，属市司法局下属公益一类事业单位，独立核算，无内设机构，事业编制6名，设主任1名，副主任1名，科级领导职数1名（正科级）、1名（副科级）。</w:t>
      </w:r>
    </w:p>
    <w:p>
      <w:pPr>
        <w:ind w:firstLine="800" w:firstLineChars="250"/>
        <w:jc w:val="left"/>
        <w:rPr>
          <w:rFonts w:hint="default" w:ascii="Times New Roman" w:hAnsi="Times New Roman" w:eastAsia="黑体" w:cs="Times New Roman"/>
          <w:sz w:val="32"/>
          <w:szCs w:val="32"/>
        </w:rPr>
      </w:pPr>
      <w:r>
        <w:rPr>
          <w:rFonts w:hint="eastAsia" w:ascii="仿宋" w:hAnsi="仿宋" w:eastAsia="仿宋" w:cs="仿宋"/>
          <w:color w:val="auto"/>
          <w:sz w:val="32"/>
          <w:szCs w:val="32"/>
          <w:lang w:val="en-US" w:eastAsia="zh-CN"/>
        </w:rPr>
        <w:t>纳入司法局2022年部门预算编制范围的预算单位为</w:t>
      </w:r>
      <w:r>
        <w:rPr>
          <w:rFonts w:hint="eastAsia" w:ascii="仿宋_GB2312" w:hAnsi="ˎ̥" w:eastAsia="仿宋_GB2312" w:cs="Times New Roman"/>
          <w:color w:val="auto"/>
          <w:sz w:val="32"/>
          <w:szCs w:val="32"/>
          <w:lang w:val="en-US" w:eastAsia="zh-CN"/>
        </w:rPr>
        <w:t>三亚市自贸港法律服务中心</w:t>
      </w:r>
      <w:r>
        <w:rPr>
          <w:rFonts w:hint="eastAsia" w:ascii="仿宋" w:hAnsi="仿宋" w:eastAsia="仿宋" w:cs="仿宋"/>
          <w:color w:val="auto"/>
          <w:sz w:val="32"/>
          <w:szCs w:val="32"/>
          <w:lang w:val="en-US" w:eastAsia="zh-CN"/>
        </w:rPr>
        <w:t>。</w:t>
      </w:r>
    </w:p>
    <w:p>
      <w:pPr>
        <w:ind w:firstLine="640" w:firstLineChars="200"/>
        <w:jc w:val="both"/>
        <w:rPr>
          <w:rFonts w:hint="eastAsia" w:ascii="仿宋" w:hAnsi="仿宋" w:eastAsia="仿宋" w:cs="仿宋"/>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center"/>
        <w:rPr>
          <w:rFonts w:hint="eastAsia" w:ascii="仿宋" w:hAnsi="仿宋" w:eastAsia="仿宋" w:cs="仿宋"/>
          <w:b w:val="0"/>
          <w:bCs/>
          <w:sz w:val="32"/>
          <w:szCs w:val="32"/>
        </w:rPr>
      </w:pPr>
      <w:r>
        <w:rPr>
          <w:rFonts w:hint="eastAsia" w:ascii="仿宋" w:hAnsi="仿宋" w:eastAsia="仿宋" w:cs="仿宋"/>
          <w:b w:val="0"/>
          <w:bCs/>
          <w:sz w:val="32"/>
          <w:szCs w:val="32"/>
        </w:rPr>
        <w:t>（此部分内容即为单位预算公开表）</w:t>
      </w:r>
    </w:p>
    <w:p>
      <w:pPr>
        <w:ind w:firstLine="480" w:firstLineChars="15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年预算情况说明</w:t>
      </w:r>
    </w:p>
    <w:p>
      <w:pPr>
        <w:jc w:val="both"/>
        <w:rPr>
          <w:rFonts w:hint="default" w:ascii="Times New Roman" w:hAnsi="Times New Roman" w:eastAsia="黑体" w:cs="Times New Roman"/>
          <w:sz w:val="32"/>
          <w:szCs w:val="32"/>
        </w:rPr>
      </w:pPr>
    </w:p>
    <w:p>
      <w:pPr>
        <w:ind w:firstLine="640" w:firstLineChars="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年财政拨款收支预算情况的总体说明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包括</w:t>
      </w:r>
      <w:r>
        <w:rPr>
          <w:rFonts w:hint="default" w:ascii="Times New Roman" w:hAnsi="Times New Roman" w:eastAsia="仿宋_GB2312" w:cs="Times New Roman"/>
          <w:sz w:val="32"/>
          <w:szCs w:val="32"/>
        </w:rPr>
        <w:t>一般公共服务支出</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年一般公共预算当年拨款情况说明</w:t>
      </w:r>
    </w:p>
    <w:p>
      <w:pPr>
        <w:ind w:firstLine="640"/>
        <w:jc w:val="both"/>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上年预算数</w:t>
      </w:r>
      <w:r>
        <w:rPr>
          <w:rFonts w:hint="default" w:ascii="Times New Roman" w:hAnsi="Times New Roman" w:eastAsia="仿宋_GB2312" w:cs="Times New Roman"/>
          <w:sz w:val="32"/>
          <w:szCs w:val="32"/>
          <w:lang w:val="en-US" w:eastAsia="zh-CN"/>
        </w:rPr>
        <w:t>基本</w:t>
      </w:r>
      <w:r>
        <w:rPr>
          <w:rFonts w:hint="default" w:ascii="Times New Roman" w:hAnsi="Times New Roman" w:eastAsia="仿宋_GB2312" w:cs="Times New Roman"/>
          <w:sz w:val="32"/>
          <w:szCs w:val="32"/>
        </w:rPr>
        <w:t>持平</w:t>
      </w:r>
      <w:r>
        <w:rPr>
          <w:rFonts w:hint="default" w:ascii="Times New Roman" w:hAnsi="Times New Roman" w:eastAsia="仿宋_GB2312" w:cs="Times New Roman"/>
          <w:sz w:val="32"/>
          <w:szCs w:val="32"/>
          <w:lang w:eastAsia="zh-CN"/>
        </w:rPr>
        <w:t>。</w:t>
      </w:r>
    </w:p>
    <w:p>
      <w:pPr>
        <w:ind w:firstLine="640"/>
        <w:jc w:val="both"/>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numPr>
          <w:ilvl w:val="0"/>
          <w:numId w:val="7"/>
        </w:numPr>
        <w:ind w:left="640" w:leftChars="0" w:firstLine="0" w:firstLineChars="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一般公共预算当年拨款具体使用情况</w:t>
      </w:r>
    </w:p>
    <w:p>
      <w:pPr>
        <w:numPr>
          <w:ilvl w:val="0"/>
          <w:numId w:val="0"/>
        </w:num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公共安全</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司法（款）公共法律服务（项）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40</w:t>
      </w:r>
      <w:r>
        <w:rPr>
          <w:rFonts w:hint="default"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val="en-US" w:eastAsia="zh-CN"/>
        </w:rPr>
        <w:t>增加40</w:t>
      </w:r>
      <w:r>
        <w:rPr>
          <w:rFonts w:hint="default" w:ascii="Times New Roman" w:hAnsi="Times New Roman" w:eastAsia="仿宋_GB2312" w:cs="Times New Roman"/>
          <w:sz w:val="32"/>
          <w:szCs w:val="32"/>
          <w:highlight w:val="none"/>
        </w:rPr>
        <w:t>万元，主要</w:t>
      </w:r>
      <w:r>
        <w:rPr>
          <w:rFonts w:hint="default" w:ascii="Times New Roman" w:hAnsi="Times New Roman" w:eastAsia="仿宋_GB2312" w:cs="Times New Roman"/>
          <w:sz w:val="32"/>
          <w:szCs w:val="32"/>
          <w:highlight w:val="none"/>
          <w:lang w:val="en-US" w:eastAsia="zh-CN"/>
        </w:rPr>
        <w:t>本单位2020年成立，2021年正式运行</w:t>
      </w:r>
      <w:r>
        <w:rPr>
          <w:rFonts w:hint="eastAsia" w:ascii="Times New Roman" w:hAnsi="Times New Roman" w:eastAsia="仿宋_GB2312" w:cs="Times New Roman"/>
          <w:sz w:val="32"/>
          <w:szCs w:val="32"/>
          <w:highlight w:val="none"/>
          <w:lang w:val="en-US" w:eastAsia="zh-CN"/>
        </w:rPr>
        <w:t>，2021年未申报</w:t>
      </w:r>
      <w:r>
        <w:rPr>
          <w:rFonts w:hint="default" w:ascii="Times New Roman" w:hAnsi="Times New Roman" w:eastAsia="仿宋_GB2312" w:cs="Times New Roman"/>
          <w:sz w:val="32"/>
          <w:szCs w:val="32"/>
          <w:highlight w:val="none"/>
          <w:lang w:val="en-US" w:eastAsia="zh-CN"/>
        </w:rPr>
        <w:t>公共法律服务</w:t>
      </w:r>
      <w:r>
        <w:rPr>
          <w:rFonts w:hint="eastAsia" w:ascii="Times New Roman" w:hAnsi="Times New Roman" w:eastAsia="仿宋_GB2312" w:cs="Times New Roman"/>
          <w:sz w:val="32"/>
          <w:szCs w:val="32"/>
          <w:highlight w:val="none"/>
          <w:lang w:val="en-US" w:eastAsia="zh-CN"/>
        </w:rPr>
        <w:t>项目预算，只有财政下达的自贸港发展建设经费项目。</w:t>
      </w:r>
    </w:p>
    <w:p>
      <w:pPr>
        <w:numPr>
          <w:ilvl w:val="0"/>
          <w:numId w:val="0"/>
        </w:num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公共安全</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司法（款）事业运行（项）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default" w:ascii="Times New Roman" w:hAnsi="Times New Roman" w:eastAsia="仿宋_GB2312" w:cs="Times New Roman"/>
          <w:sz w:val="32"/>
          <w:szCs w:val="32"/>
          <w:highlight w:val="none"/>
          <w:lang w:val="en-US" w:eastAsia="zh-CN"/>
        </w:rPr>
        <w:t>47.45</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19.13</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val="en-US" w:eastAsia="zh-CN"/>
        </w:rPr>
        <w:t>人员经费增加了</w:t>
      </w:r>
      <w:r>
        <w:rPr>
          <w:rFonts w:hint="eastAsia" w:ascii="Times New Roman" w:hAnsi="Times New Roman" w:eastAsia="仿宋_GB2312" w:cs="Times New Roman"/>
          <w:sz w:val="32"/>
          <w:szCs w:val="32"/>
          <w:highlight w:val="none"/>
          <w:lang w:val="en-US" w:eastAsia="zh-CN"/>
        </w:rPr>
        <w:t>19.13</w:t>
      </w:r>
      <w:r>
        <w:rPr>
          <w:rFonts w:hint="default" w:ascii="Times New Roman" w:hAnsi="Times New Roman" w:eastAsia="仿宋_GB2312" w:cs="Times New Roman"/>
          <w:sz w:val="32"/>
          <w:szCs w:val="32"/>
          <w:highlight w:val="none"/>
          <w:lang w:val="en-US" w:eastAsia="zh-CN"/>
        </w:rPr>
        <w:t>万。</w:t>
      </w:r>
    </w:p>
    <w:p>
      <w:pPr>
        <w:numPr>
          <w:ilvl w:val="0"/>
          <w:numId w:val="0"/>
        </w:num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公共安全</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司法（款）其他司法支出（项）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万元，主要</w:t>
      </w:r>
      <w:r>
        <w:rPr>
          <w:rFonts w:hint="default" w:ascii="Times New Roman" w:hAnsi="Times New Roman" w:eastAsia="仿宋_GB2312" w:cs="Times New Roman"/>
          <w:sz w:val="32"/>
          <w:szCs w:val="32"/>
          <w:highlight w:val="none"/>
          <w:lang w:val="en-US" w:eastAsia="zh-CN"/>
        </w:rPr>
        <w:t>本单位2020年成立，2021年正式运行</w:t>
      </w:r>
      <w:r>
        <w:rPr>
          <w:rFonts w:hint="eastAsia" w:ascii="Times New Roman" w:hAnsi="Times New Roman" w:eastAsia="仿宋_GB2312" w:cs="Times New Roman"/>
          <w:sz w:val="32"/>
          <w:szCs w:val="32"/>
          <w:highlight w:val="none"/>
          <w:lang w:val="en-US" w:eastAsia="zh-CN"/>
        </w:rPr>
        <w:t>，2021年未申报</w:t>
      </w:r>
      <w:r>
        <w:rPr>
          <w:rFonts w:hint="default" w:ascii="Times New Roman" w:hAnsi="Times New Roman" w:eastAsia="仿宋_GB2312" w:cs="Times New Roman"/>
          <w:sz w:val="32"/>
          <w:szCs w:val="32"/>
          <w:highlight w:val="none"/>
          <w:lang w:val="en-US" w:eastAsia="zh-CN"/>
        </w:rPr>
        <w:t>其他司法支出</w:t>
      </w:r>
      <w:r>
        <w:rPr>
          <w:rFonts w:hint="eastAsia" w:ascii="Times New Roman" w:hAnsi="Times New Roman" w:eastAsia="仿宋_GB2312" w:cs="Times New Roman"/>
          <w:sz w:val="32"/>
          <w:szCs w:val="32"/>
          <w:highlight w:val="none"/>
          <w:lang w:val="en-US" w:eastAsia="zh-CN"/>
        </w:rPr>
        <w:t>项目预算，只有财政下达的自贸港发展建设经费项目。</w:t>
      </w:r>
    </w:p>
    <w:p>
      <w:pPr>
        <w:numPr>
          <w:ilvl w:val="0"/>
          <w:numId w:val="0"/>
        </w:num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.社会保障和就业</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行政事业单位养老支出（款）机关事业单位基本养老保险缴费支出（项）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3.44</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0.89</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val="en-US" w:eastAsia="zh-CN"/>
        </w:rPr>
        <w:t>人员经费增加了</w:t>
      </w:r>
      <w:r>
        <w:rPr>
          <w:rFonts w:hint="eastAsia" w:ascii="Times New Roman" w:hAnsi="Times New Roman" w:eastAsia="仿宋_GB2312" w:cs="Times New Roman"/>
          <w:sz w:val="32"/>
          <w:szCs w:val="32"/>
          <w:highlight w:val="none"/>
          <w:lang w:val="en-US" w:eastAsia="zh-CN"/>
        </w:rPr>
        <w:t>0.89</w:t>
      </w:r>
      <w:r>
        <w:rPr>
          <w:rFonts w:hint="default" w:ascii="Times New Roman" w:hAnsi="Times New Roman" w:eastAsia="仿宋_GB2312" w:cs="Times New Roman"/>
          <w:sz w:val="32"/>
          <w:szCs w:val="32"/>
          <w:highlight w:val="none"/>
          <w:lang w:val="en-US" w:eastAsia="zh-CN"/>
        </w:rPr>
        <w:t>万。</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.社会保障和就业</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行政事业单位养老支出（款）机关事业单位职业年金缴费支出（项）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与上年持平。</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.卫生健康</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行政事业单位医疗（款）事业单位医疗（项）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1.83</w:t>
      </w:r>
      <w:r>
        <w:rPr>
          <w:rFonts w:hint="default" w:ascii="Times New Roman" w:hAnsi="Times New Roman" w:eastAsia="仿宋_GB2312" w:cs="Times New Roman"/>
          <w:sz w:val="32"/>
          <w:szCs w:val="32"/>
          <w:highlight w:val="none"/>
        </w:rPr>
        <w:t>万元，比上年预算数增加</w:t>
      </w:r>
      <w:r>
        <w:rPr>
          <w:rFonts w:hint="default"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lang w:val="en-US" w:eastAsia="zh-CN"/>
        </w:rPr>
        <w:t>44</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val="en-US" w:eastAsia="zh-CN"/>
        </w:rPr>
        <w:t>人员经费增加了0.</w:t>
      </w:r>
      <w:r>
        <w:rPr>
          <w:rFonts w:hint="eastAsia" w:ascii="Times New Roman" w:hAnsi="Times New Roman" w:eastAsia="仿宋_GB2312" w:cs="Times New Roman"/>
          <w:sz w:val="32"/>
          <w:szCs w:val="32"/>
          <w:highlight w:val="none"/>
          <w:lang w:val="en-US" w:eastAsia="zh-CN"/>
        </w:rPr>
        <w:t>44</w:t>
      </w:r>
      <w:r>
        <w:rPr>
          <w:rFonts w:hint="default" w:ascii="Times New Roman" w:hAnsi="Times New Roman" w:eastAsia="仿宋_GB2312" w:cs="Times New Roman"/>
          <w:sz w:val="32"/>
          <w:szCs w:val="32"/>
          <w:highlight w:val="none"/>
          <w:lang w:val="en-US" w:eastAsia="zh-CN"/>
        </w:rPr>
        <w:t>万。</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.卫生健康</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行政事业单位医疗（款）公务员医疗补助（项）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2.25</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0.44</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val="en-US" w:eastAsia="zh-CN"/>
        </w:rPr>
        <w:t>人员经费增加了</w:t>
      </w:r>
      <w:r>
        <w:rPr>
          <w:rFonts w:hint="eastAsia" w:ascii="Times New Roman" w:hAnsi="Times New Roman" w:eastAsia="仿宋_GB2312" w:cs="Times New Roman"/>
          <w:sz w:val="32"/>
          <w:szCs w:val="32"/>
          <w:highlight w:val="none"/>
          <w:lang w:val="en-US" w:eastAsia="zh-CN"/>
        </w:rPr>
        <w:t>0.44</w:t>
      </w:r>
      <w:r>
        <w:rPr>
          <w:rFonts w:hint="default" w:ascii="Times New Roman" w:hAnsi="Times New Roman" w:eastAsia="仿宋_GB2312" w:cs="Times New Roman"/>
          <w:sz w:val="32"/>
          <w:szCs w:val="32"/>
          <w:highlight w:val="none"/>
          <w:lang w:val="en-US" w:eastAsia="zh-CN"/>
        </w:rPr>
        <w:t>万。</w:t>
      </w:r>
    </w:p>
    <w:p>
      <w:pPr>
        <w:numPr>
          <w:ilvl w:val="0"/>
          <w:numId w:val="0"/>
        </w:numPr>
        <w:ind w:firstLine="640" w:firstLineChars="200"/>
        <w:jc w:val="both"/>
        <w:rPr>
          <w:rFonts w:hint="default" w:ascii="Times New Roman" w:hAnsi="Times New Roman" w:eastAsia="仿宋_GB2312" w:cs="Times New Roman"/>
          <w:color w:val="FF0000"/>
          <w:sz w:val="32"/>
          <w:szCs w:val="32"/>
          <w:highlight w:val="none"/>
          <w:lang w:eastAsia="zh-CN"/>
        </w:rPr>
      </w:pP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.住房保障</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住房改革支出（款）住房公积金（项）</w:t>
      </w:r>
      <w:r>
        <w:rPr>
          <w:rFonts w:hint="eastAsia" w:ascii="Times New Roman" w:hAnsi="Times New Roman" w:eastAsia="仿宋_GB2312" w:cs="Times New Roman"/>
          <w:sz w:val="32"/>
          <w:szCs w:val="32"/>
          <w:highlight w:val="none"/>
          <w:lang w:val="en-US" w:eastAsia="zh-CN"/>
        </w:rPr>
        <w:t>2022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2.7</w:t>
      </w:r>
      <w:r>
        <w:rPr>
          <w:rFonts w:hint="default"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0.37</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val="en-US" w:eastAsia="zh-CN"/>
        </w:rPr>
        <w:t>人员经费增加了</w:t>
      </w:r>
      <w:r>
        <w:rPr>
          <w:rFonts w:hint="eastAsia" w:ascii="Times New Roman" w:hAnsi="Times New Roman" w:eastAsia="仿宋_GB2312" w:cs="Times New Roman"/>
          <w:sz w:val="32"/>
          <w:szCs w:val="32"/>
          <w:highlight w:val="none"/>
          <w:lang w:val="en-US" w:eastAsia="zh-CN"/>
        </w:rPr>
        <w:t>0.37</w:t>
      </w:r>
      <w:r>
        <w:rPr>
          <w:rFonts w:hint="default" w:ascii="Times New Roman" w:hAnsi="Times New Roman" w:eastAsia="仿宋_GB2312" w:cs="Times New Roman"/>
          <w:sz w:val="32"/>
          <w:szCs w:val="32"/>
          <w:highlight w:val="none"/>
          <w:lang w:val="en-US" w:eastAsia="zh-CN"/>
        </w:rPr>
        <w:t>万。</w:t>
      </w:r>
    </w:p>
    <w:p>
      <w:pPr>
        <w:ind w:firstLine="64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zCs w:val="32"/>
        </w:rPr>
        <w:t>年一般公共预算基本支出情况说明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57.67</w:t>
      </w:r>
      <w:r>
        <w:rPr>
          <w:rFonts w:hint="default" w:ascii="Times New Roman" w:hAnsi="Times New Roman" w:eastAsia="仿宋_GB2312" w:cs="Times New Roman"/>
          <w:sz w:val="32"/>
          <w:szCs w:val="32"/>
        </w:rPr>
        <w:t>万元，其中：</w:t>
      </w:r>
    </w:p>
    <w:p>
      <w:pPr>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default" w:ascii="Times New Roman" w:hAnsi="Times New Roman" w:eastAsia="仿宋_GB2312" w:cs="Times New Roman"/>
          <w:sz w:val="32"/>
          <w:szCs w:val="32"/>
          <w:highlight w:val="none"/>
          <w:lang w:val="en-US" w:eastAsia="zh-CN"/>
        </w:rPr>
        <w:t>54.22</w:t>
      </w:r>
      <w:r>
        <w:rPr>
          <w:rFonts w:hint="default" w:ascii="Times New Roman" w:hAnsi="Times New Roman" w:eastAsia="仿宋_GB2312" w:cs="Times New Roman"/>
          <w:sz w:val="32"/>
          <w:szCs w:val="32"/>
          <w:highlight w:val="none"/>
        </w:rPr>
        <w:t>万元，主要包括：基本工资、津贴补贴、绩效工资</w:t>
      </w:r>
      <w:r>
        <w:rPr>
          <w:rFonts w:hint="eastAsia" w:ascii="Times New Roman" w:hAnsi="Times New Roman" w:eastAsia="仿宋_GB2312" w:cs="Times New Roman"/>
          <w:sz w:val="32"/>
          <w:szCs w:val="32"/>
          <w:highlight w:val="none"/>
          <w:lang w:eastAsia="zh-CN"/>
        </w:rPr>
        <w:t>、机关事业单位基本养老保险缴费、职工基本医疗保险缴费、公务员医疗补助缴费、其他社会保障缴费、住房公积金、医疗费、其他工资福利支出。</w:t>
      </w:r>
    </w:p>
    <w:p>
      <w:pPr>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default" w:ascii="Times New Roman" w:hAnsi="Times New Roman" w:eastAsia="仿宋_GB2312" w:cs="Times New Roman"/>
          <w:sz w:val="32"/>
          <w:szCs w:val="32"/>
          <w:highlight w:val="none"/>
          <w:lang w:val="en-US" w:eastAsia="zh-CN"/>
        </w:rPr>
        <w:t>3.45</w:t>
      </w:r>
      <w:r>
        <w:rPr>
          <w:rFonts w:hint="default" w:ascii="Times New Roman" w:hAnsi="Times New Roman" w:eastAsia="仿宋_GB2312" w:cs="Times New Roman"/>
          <w:sz w:val="32"/>
          <w:szCs w:val="32"/>
          <w:highlight w:val="none"/>
        </w:rPr>
        <w:t>万元，主要包括：办公费、咨询费、手续费、水费、</w:t>
      </w:r>
      <w:r>
        <w:rPr>
          <w:rFonts w:hint="eastAsia" w:ascii="Times New Roman" w:hAnsi="Times New Roman" w:eastAsia="仿宋_GB2312" w:cs="Times New Roman"/>
          <w:sz w:val="32"/>
          <w:szCs w:val="32"/>
          <w:highlight w:val="none"/>
          <w:lang w:eastAsia="zh-CN"/>
        </w:rPr>
        <w:t>办公费、培训费、工会经费、福利费、其他商品和服务支出、其他对个人和家庭的补助</w:t>
      </w:r>
      <w:r>
        <w:rPr>
          <w:rFonts w:hint="default" w:ascii="Times New Roman" w:hAnsi="Times New Roman" w:eastAsia="仿宋_GB2312" w:cs="Times New Roman"/>
          <w:sz w:val="32"/>
          <w:szCs w:val="32"/>
          <w:highlight w:val="none"/>
        </w:rPr>
        <w:t>。</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val="en-US" w:eastAsia="zh-CN"/>
        </w:rPr>
        <w:t>三亚市自贸港法律服务中心2022</w:t>
      </w:r>
      <w:r>
        <w:rPr>
          <w:rFonts w:hint="default" w:ascii="Times New Roman" w:hAnsi="Times New Roman" w:eastAsia="黑体" w:cs="Times New Roman"/>
          <w:sz w:val="32"/>
          <w:shd w:val="clear" w:color="auto" w:fill="FFFFFF"/>
        </w:rPr>
        <w:t>年“三公”经费预算情况说明</w:t>
      </w:r>
    </w:p>
    <w:p>
      <w:pPr>
        <w:ind w:firstLine="630"/>
        <w:jc w:val="both"/>
        <w:rPr>
          <w:rFonts w:hint="eastAsia" w:ascii="Times New Roman" w:hAnsi="Times New Roman" w:eastAsia="仿宋_GB2312" w:cs="Times New Roman"/>
          <w:sz w:val="32"/>
          <w:shd w:val="clear" w:color="auto" w:fill="FFFFFF"/>
          <w:lang w:eastAsia="zh-CN"/>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ind w:firstLine="640" w:firstLineChars="200"/>
        <w:jc w:val="both"/>
        <w:rPr>
          <w:rFonts w:hint="eastAsia" w:ascii="Times New Roman" w:hAnsi="Times New Roman" w:eastAsia="仿宋_GB2312" w:cs="Times New Roman"/>
          <w:sz w:val="32"/>
          <w:shd w:val="clear" w:color="auto" w:fill="FFFFFF"/>
          <w:lang w:eastAsia="zh-CN"/>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val="en-US" w:eastAsia="zh-CN"/>
        </w:rPr>
        <w:t>三亚市自贸港法律服务中心2022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三亚市自贸港法律服务中心2022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eastAsia="zh-CN"/>
        </w:rPr>
        <w:t>与上年预算持平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lang w:eastAsia="zh-CN"/>
        </w:rPr>
        <w:t>与上年预算持平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eastAsia="zh-CN"/>
        </w:rPr>
        <w:t>与上年预算持平</w:t>
      </w:r>
      <w:r>
        <w:rPr>
          <w:rFonts w:hint="eastAsia" w:ascii="仿宋_GB2312" w:hAnsi="黑体" w:eastAsia="仿宋_GB2312"/>
          <w:sz w:val="32"/>
          <w:szCs w:val="32"/>
        </w:rPr>
        <w:t>。</w:t>
      </w:r>
    </w:p>
    <w:p>
      <w:pPr>
        <w:ind w:firstLine="640" w:firstLineChars="200"/>
        <w:rPr>
          <w:rFonts w:hint="eastAsia" w:ascii="Times New Roman" w:hAnsi="Times New Roman" w:eastAsia="仿宋_GB2312" w:cs="Times New Roman"/>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zCs w:val="32"/>
          <w:lang w:eastAsia="zh-CN"/>
        </w:rPr>
        <w:t>与上年预算持平</w:t>
      </w:r>
      <w:r>
        <w:rPr>
          <w:rFonts w:hint="eastAsia" w:ascii="仿宋_GB2312" w:hAnsi="黑体" w:eastAsia="仿宋_GB2312"/>
          <w:sz w:val="32"/>
          <w:szCs w:val="32"/>
        </w:rPr>
        <w:t>。</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val="en-US" w:eastAsia="zh-CN"/>
        </w:rPr>
        <w:t>三亚市自贸港法律服务中心2022</w:t>
      </w:r>
      <w:r>
        <w:rPr>
          <w:rFonts w:hint="default" w:ascii="Times New Roman" w:hAnsi="Times New Roman" w:eastAsia="黑体" w:cs="Times New Roman"/>
          <w:sz w:val="32"/>
          <w:shd w:val="clear" w:color="auto" w:fill="FFFFFF"/>
        </w:rPr>
        <w:t>年收支预算情况的总体说明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val="en-US" w:eastAsia="zh-CN"/>
        </w:rPr>
        <w:t>三亚市自贸港法律服务中心</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w:t>
      </w:r>
      <w:r>
        <w:rPr>
          <w:rFonts w:hint="eastAsia" w:ascii="Times New Roman" w:hAnsi="Times New Roman" w:eastAsia="仿宋_GB2312" w:cs="Times New Roman"/>
          <w:sz w:val="32"/>
          <w:szCs w:val="32"/>
          <w:lang w:eastAsia="zh-CN"/>
        </w:rPr>
        <w:t>。支出包括：一般公共服务支出；</w:t>
      </w: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hd w:val="clear" w:color="auto" w:fill="FFFFFF"/>
          <w:lang w:val="en-US" w:eastAsia="zh-CN"/>
        </w:rPr>
        <w:t>三亚市自贸港法律服务中心2022</w:t>
      </w:r>
      <w:r>
        <w:rPr>
          <w:rFonts w:hint="default" w:ascii="Times New Roman" w:hAnsi="Times New Roman" w:eastAsia="黑体" w:cs="Times New Roman"/>
          <w:sz w:val="32"/>
          <w:shd w:val="clear" w:color="auto" w:fill="FFFFFF"/>
        </w:rPr>
        <w:t>年收入预算情况说明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highlight w:val="none"/>
          <w:lang w:val="en-US" w:eastAsia="zh-CN"/>
        </w:rPr>
        <w:t>107.67</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lang w:val="en-US" w:eastAsia="zh-CN"/>
        </w:rPr>
        <w:t>与</w:t>
      </w:r>
      <w:r>
        <w:rPr>
          <w:rFonts w:hint="default" w:ascii="Times New Roman" w:hAnsi="Times New Roman" w:eastAsia="仿宋_GB2312" w:cs="Times New Roman"/>
          <w:sz w:val="32"/>
          <w:szCs w:val="32"/>
          <w:highlight w:val="none"/>
        </w:rPr>
        <w:t>上年预算数</w:t>
      </w:r>
      <w:r>
        <w:rPr>
          <w:rFonts w:hint="default" w:ascii="Times New Roman" w:hAnsi="Times New Roman" w:eastAsia="仿宋_GB2312" w:cs="Times New Roman"/>
          <w:sz w:val="32"/>
          <w:szCs w:val="32"/>
          <w:highlight w:val="none"/>
          <w:lang w:val="en-US" w:eastAsia="zh-CN"/>
        </w:rPr>
        <w:t>基本</w:t>
      </w:r>
      <w:r>
        <w:rPr>
          <w:rFonts w:hint="default" w:ascii="Times New Roman" w:hAnsi="Times New Roman" w:eastAsia="仿宋_GB2312" w:cs="Times New Roman"/>
          <w:sz w:val="32"/>
          <w:szCs w:val="32"/>
          <w:highlight w:val="none"/>
        </w:rPr>
        <w:t>持平。</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hd w:val="clear" w:color="auto" w:fill="FFFFFF"/>
          <w:lang w:val="en-US" w:eastAsia="zh-CN"/>
        </w:rPr>
        <w:t>三亚市自贸港法律服务中心2022</w:t>
      </w:r>
      <w:r>
        <w:rPr>
          <w:rFonts w:hint="default" w:ascii="Times New Roman" w:hAnsi="Times New Roman" w:eastAsia="黑体" w:cs="Times New Roman"/>
          <w:sz w:val="32"/>
          <w:shd w:val="clear" w:color="auto" w:fill="FFFFFF"/>
        </w:rPr>
        <w:t>年支出预算情况说明</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三亚市自贸港法律服务中心2022</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57.67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上年预算数</w:t>
      </w:r>
      <w:r>
        <w:rPr>
          <w:rFonts w:hint="default" w:ascii="Times New Roman" w:hAnsi="Times New Roman" w:eastAsia="仿宋_GB2312" w:cs="Times New Roman"/>
          <w:sz w:val="32"/>
          <w:szCs w:val="32"/>
          <w:lang w:val="en-US" w:eastAsia="zh-CN"/>
        </w:rPr>
        <w:t>基本</w:t>
      </w:r>
      <w:r>
        <w:rPr>
          <w:rFonts w:hint="default" w:ascii="Times New Roman" w:hAnsi="Times New Roman" w:eastAsia="仿宋_GB2312" w:cs="Times New Roman"/>
          <w:sz w:val="32"/>
          <w:szCs w:val="32"/>
        </w:rPr>
        <w:t>持平。</w:t>
      </w:r>
    </w:p>
    <w:p>
      <w:pPr>
        <w:ind w:firstLine="640" w:firstLineChars="200"/>
        <w:jc w:val="both"/>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无，事业单位。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w:t>
      </w:r>
      <w:r>
        <w:rPr>
          <w:rFonts w:hint="default" w:ascii="Times New Roman" w:hAnsi="Times New Roman" w:eastAsia="仿宋_GB2312" w:cs="Times New Roman"/>
          <w:sz w:val="32"/>
          <w:szCs w:val="32"/>
          <w:lang w:val="en-US" w:eastAsia="zh-CN"/>
        </w:rPr>
        <w:t>三亚市自贸港法律服务中心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Times New Roman" w:hAnsi="Times New Roman" w:eastAsia="楷体" w:cs="Times New Roman"/>
          <w:sz w:val="32"/>
          <w:szCs w:val="32"/>
          <w:lang w:val="en-US" w:eastAsia="zh-CN"/>
        </w:rPr>
      </w:pPr>
      <w:r>
        <w:rPr>
          <w:rFonts w:hint="eastAsia" w:ascii="仿宋_GB2312" w:hAnsi="黑体" w:eastAsia="仿宋_GB2312" w:cs="仿宋_GB2312"/>
          <w:sz w:val="32"/>
          <w:szCs w:val="32"/>
        </w:rPr>
        <w:t>截至</w:t>
      </w:r>
      <w:bookmarkStart w:id="0" w:name="_GoBack"/>
      <w:r>
        <w:rPr>
          <w:rFonts w:hint="eastAsia" w:ascii="仿宋_GB2312" w:hAnsi="黑体" w:eastAsia="仿宋_GB2312" w:cs="仿宋_GB2312"/>
          <w:sz w:val="32"/>
          <w:szCs w:val="32"/>
        </w:rPr>
        <w:t>2021</w:t>
      </w:r>
      <w:bookmarkEnd w:id="0"/>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default" w:ascii="Times New Roman" w:hAnsi="Times New Roman" w:eastAsia="仿宋_GB2312" w:cs="Times New Roman"/>
          <w:sz w:val="32"/>
          <w:szCs w:val="32"/>
          <w:lang w:val="en-US" w:eastAsia="zh-CN"/>
        </w:rPr>
        <w:t>三亚市自贸港法律服务中心</w:t>
      </w:r>
      <w:r>
        <w:rPr>
          <w:rFonts w:hint="eastAsia" w:ascii="仿宋_GB2312" w:hAnsi="黑体" w:eastAsia="仿宋_GB2312" w:cs="仿宋_GB2312"/>
          <w:sz w:val="32"/>
          <w:szCs w:val="32"/>
        </w:rPr>
        <w:t>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万元以上设备0台（套）。</w:t>
      </w:r>
    </w:p>
    <w:p>
      <w:pPr>
        <w:ind w:firstLine="640" w:firstLineChars="200"/>
        <w:jc w:val="both"/>
        <w:rPr>
          <w:rFonts w:hint="default" w:ascii="Times New Roman" w:hAnsi="Times New Roman" w:eastAsia="楷体" w:cs="Times New Roman"/>
          <w:sz w:val="32"/>
          <w:szCs w:val="32"/>
        </w:rPr>
      </w:pPr>
      <w:r>
        <w:rPr>
          <w:rFonts w:hint="eastAsia" w:ascii="楷体" w:hAnsi="楷体" w:eastAsia="楷体"/>
          <w:sz w:val="32"/>
          <w:szCs w:val="32"/>
        </w:rPr>
        <w:t>（</w:t>
      </w:r>
      <w:r>
        <w:rPr>
          <w:rFonts w:hint="eastAsia" w:ascii="楷体" w:hAnsi="楷体" w:eastAsia="楷体"/>
          <w:sz w:val="32"/>
          <w:szCs w:val="32"/>
          <w:lang w:val="en-US" w:eastAsia="zh-CN"/>
        </w:rPr>
        <w:t>四</w:t>
      </w:r>
      <w:r>
        <w:rPr>
          <w:rFonts w:hint="eastAsia" w:ascii="楷体" w:hAnsi="楷体" w:eastAsia="楷体"/>
          <w:sz w:val="32"/>
          <w:szCs w:val="32"/>
        </w:rPr>
        <w:t>）</w:t>
      </w:r>
      <w:r>
        <w:rPr>
          <w:rFonts w:hint="default" w:ascii="Times New Roman" w:hAnsi="Times New Roman" w:eastAsia="楷体" w:cs="Times New Roman"/>
          <w:sz w:val="32"/>
          <w:szCs w:val="32"/>
        </w:rPr>
        <w:t>绩效目标设置情况</w:t>
      </w:r>
    </w:p>
    <w:p>
      <w:pPr>
        <w:ind w:firstLine="640" w:firstLineChars="200"/>
        <w:jc w:val="both"/>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三亚市自贸港法律服务中心11</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107.67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lang w:val="en-US" w:eastAsia="zh-CN"/>
        </w:rPr>
        <w:t>0万元。</w:t>
      </w:r>
    </w:p>
    <w:p>
      <w:pPr>
        <w:jc w:val="both"/>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both"/>
        <w:rPr>
          <w:rFonts w:hint="default" w:ascii="Times New Roman" w:hAnsi="Times New Roman" w:eastAsia="仿宋_GB2312" w:cs="Times New Roman"/>
          <w:bCs/>
          <w:color w:val="000000"/>
          <w:kern w:val="0"/>
          <w:sz w:val="32"/>
          <w:szCs w:val="32"/>
          <w:lang w:val="zh-CN"/>
        </w:rPr>
      </w:pP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both"/>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both"/>
        <w:rPr>
          <w:rFonts w:hint="default" w:ascii="Times New Roman" w:hAnsi="Times New Roman" w:eastAsia="仿宋_GB2312" w:cs="Times New Roman"/>
          <w:color w:val="000000"/>
          <w:kern w:val="0"/>
          <w:sz w:val="32"/>
          <w:szCs w:val="30"/>
        </w:rPr>
      </w:pPr>
    </w:p>
    <w:p>
      <w:pPr>
        <w:ind w:firstLine="640" w:firstLineChars="200"/>
        <w:jc w:val="both"/>
        <w:rPr>
          <w:rFonts w:hint="default" w:ascii="Times New Roman" w:hAnsi="Times New Roman" w:eastAsia="仿宋_GB2312" w:cs="Times New Roman"/>
          <w:sz w:val="32"/>
          <w:szCs w:val="32"/>
        </w:rPr>
      </w:pPr>
    </w:p>
    <w:p>
      <w:pPr>
        <w:jc w:val="both"/>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326520129">
    <w:nsid w:val="8AABE141"/>
    <w:multiLevelType w:val="singleLevel"/>
    <w:tmpl w:val="8AABE141"/>
    <w:lvl w:ilvl="0" w:tentative="1">
      <w:start w:val="1"/>
      <w:numFmt w:val="chineseCounting"/>
      <w:suff w:val="nothing"/>
      <w:lvlText w:val="（%1）"/>
      <w:lvlJc w:val="left"/>
      <w:pPr>
        <w:ind w:left="0" w:firstLine="420"/>
      </w:pPr>
      <w:rPr>
        <w:rFonts w:hint="eastAsia"/>
        <w:b w:val="0"/>
        <w:bCs w:val="0"/>
      </w:rPr>
    </w:lvl>
  </w:abstractNum>
  <w:abstractNum w:abstractNumId="1685027325">
    <w:nsid w:val="646F79FD"/>
    <w:multiLevelType w:val="singleLevel"/>
    <w:tmpl w:val="646F79FD"/>
    <w:lvl w:ilvl="0" w:tentative="1">
      <w:start w:val="3"/>
      <w:numFmt w:val="chineseCounting"/>
      <w:suff w:val="nothing"/>
      <w:lvlText w:val="（%1）"/>
      <w:lvlJc w:val="left"/>
      <w:pPr>
        <w:ind w:left="640" w:leftChars="0" w:firstLine="0" w:firstLineChars="0"/>
      </w:pPr>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326520129"/>
  </w:num>
  <w:num w:numId="7">
    <w:abstractNumId w:val="16850273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jM2ExOTA0YTljZTg4OGU2Zjc2ZDBjZWQ4NTVlMzcifQ=="/>
  </w:docVars>
  <w:rsids>
    <w:rsidRoot w:val="00172A27"/>
    <w:rsid w:val="010351AA"/>
    <w:rsid w:val="0170463E"/>
    <w:rsid w:val="02353A89"/>
    <w:rsid w:val="02B542B1"/>
    <w:rsid w:val="03FE7EAB"/>
    <w:rsid w:val="046046C1"/>
    <w:rsid w:val="047D1717"/>
    <w:rsid w:val="056621AB"/>
    <w:rsid w:val="09652EA6"/>
    <w:rsid w:val="098A290C"/>
    <w:rsid w:val="098D41AA"/>
    <w:rsid w:val="09BC33EE"/>
    <w:rsid w:val="0BE67BA2"/>
    <w:rsid w:val="0C5B0590"/>
    <w:rsid w:val="0C6D2071"/>
    <w:rsid w:val="0CB523E4"/>
    <w:rsid w:val="0D046532"/>
    <w:rsid w:val="0DBE0DD6"/>
    <w:rsid w:val="0F561104"/>
    <w:rsid w:val="0FD50659"/>
    <w:rsid w:val="11716E92"/>
    <w:rsid w:val="11CB3AC2"/>
    <w:rsid w:val="11D34725"/>
    <w:rsid w:val="12372F05"/>
    <w:rsid w:val="12ED5CBA"/>
    <w:rsid w:val="13031039"/>
    <w:rsid w:val="130B7EEE"/>
    <w:rsid w:val="13182D37"/>
    <w:rsid w:val="13E26EA1"/>
    <w:rsid w:val="14027543"/>
    <w:rsid w:val="15311E8E"/>
    <w:rsid w:val="15962639"/>
    <w:rsid w:val="166D1B5C"/>
    <w:rsid w:val="16F51D3A"/>
    <w:rsid w:val="17780248"/>
    <w:rsid w:val="18DF42F7"/>
    <w:rsid w:val="19055057"/>
    <w:rsid w:val="19761B8B"/>
    <w:rsid w:val="19C05ED6"/>
    <w:rsid w:val="1A7A7E33"/>
    <w:rsid w:val="1AE87493"/>
    <w:rsid w:val="1BED2887"/>
    <w:rsid w:val="1F2E20B1"/>
    <w:rsid w:val="1F4849A4"/>
    <w:rsid w:val="1F645556"/>
    <w:rsid w:val="1FB46444"/>
    <w:rsid w:val="204B20F6"/>
    <w:rsid w:val="20943C19"/>
    <w:rsid w:val="220F79FB"/>
    <w:rsid w:val="226F0499"/>
    <w:rsid w:val="227470E6"/>
    <w:rsid w:val="22B42350"/>
    <w:rsid w:val="23353491"/>
    <w:rsid w:val="237A23D9"/>
    <w:rsid w:val="23F24EDE"/>
    <w:rsid w:val="242332EA"/>
    <w:rsid w:val="24F86524"/>
    <w:rsid w:val="262275D1"/>
    <w:rsid w:val="26451C3D"/>
    <w:rsid w:val="267267AA"/>
    <w:rsid w:val="27092CA5"/>
    <w:rsid w:val="273B3040"/>
    <w:rsid w:val="279B588D"/>
    <w:rsid w:val="27DA0163"/>
    <w:rsid w:val="27F93441"/>
    <w:rsid w:val="2890116A"/>
    <w:rsid w:val="28BD3403"/>
    <w:rsid w:val="29842A7C"/>
    <w:rsid w:val="29EC6874"/>
    <w:rsid w:val="29FB2613"/>
    <w:rsid w:val="2A742AF1"/>
    <w:rsid w:val="2A900FAD"/>
    <w:rsid w:val="2B1C3BE5"/>
    <w:rsid w:val="2B674404"/>
    <w:rsid w:val="2C2215C8"/>
    <w:rsid w:val="2CA3146B"/>
    <w:rsid w:val="2D173C07"/>
    <w:rsid w:val="2E160B9A"/>
    <w:rsid w:val="2EE713B8"/>
    <w:rsid w:val="2F087CAC"/>
    <w:rsid w:val="2F4A3E20"/>
    <w:rsid w:val="2FE14059"/>
    <w:rsid w:val="306C7DC6"/>
    <w:rsid w:val="30901D07"/>
    <w:rsid w:val="31615451"/>
    <w:rsid w:val="317038E6"/>
    <w:rsid w:val="31A83080"/>
    <w:rsid w:val="31AE1677"/>
    <w:rsid w:val="32317519"/>
    <w:rsid w:val="32B207B9"/>
    <w:rsid w:val="32B75C71"/>
    <w:rsid w:val="32CF3F0D"/>
    <w:rsid w:val="32D84F4D"/>
    <w:rsid w:val="32F01183"/>
    <w:rsid w:val="349008E1"/>
    <w:rsid w:val="34BE495E"/>
    <w:rsid w:val="3592207D"/>
    <w:rsid w:val="35B44D6B"/>
    <w:rsid w:val="35ED7BFB"/>
    <w:rsid w:val="36176A26"/>
    <w:rsid w:val="36C6078A"/>
    <w:rsid w:val="375D490D"/>
    <w:rsid w:val="376B3753"/>
    <w:rsid w:val="37BD1A5A"/>
    <w:rsid w:val="37FF7772"/>
    <w:rsid w:val="382C2DD4"/>
    <w:rsid w:val="38C84008"/>
    <w:rsid w:val="38F44DFD"/>
    <w:rsid w:val="39202096"/>
    <w:rsid w:val="3A414072"/>
    <w:rsid w:val="3A5C0EAC"/>
    <w:rsid w:val="3AC9031B"/>
    <w:rsid w:val="3AD2116E"/>
    <w:rsid w:val="3B7A3CDF"/>
    <w:rsid w:val="3C0161AE"/>
    <w:rsid w:val="3D9F5C7F"/>
    <w:rsid w:val="3DC42342"/>
    <w:rsid w:val="3DFA1107"/>
    <w:rsid w:val="3E1E54EC"/>
    <w:rsid w:val="3E32264F"/>
    <w:rsid w:val="3E75253C"/>
    <w:rsid w:val="3F593C0C"/>
    <w:rsid w:val="3F5A1BCC"/>
    <w:rsid w:val="3FCA68B7"/>
    <w:rsid w:val="3FE91433"/>
    <w:rsid w:val="404F2134"/>
    <w:rsid w:val="40E439A9"/>
    <w:rsid w:val="41214BFD"/>
    <w:rsid w:val="416F7716"/>
    <w:rsid w:val="4226071D"/>
    <w:rsid w:val="441868BB"/>
    <w:rsid w:val="442742D8"/>
    <w:rsid w:val="4447497A"/>
    <w:rsid w:val="44905925"/>
    <w:rsid w:val="461A0599"/>
    <w:rsid w:val="489F2FD7"/>
    <w:rsid w:val="48DA759D"/>
    <w:rsid w:val="4A0A4480"/>
    <w:rsid w:val="4A742241"/>
    <w:rsid w:val="4AA06B93"/>
    <w:rsid w:val="4AA418F3"/>
    <w:rsid w:val="4ABF170F"/>
    <w:rsid w:val="4BE01E83"/>
    <w:rsid w:val="4C03562B"/>
    <w:rsid w:val="4E6879C7"/>
    <w:rsid w:val="4EBB7AD3"/>
    <w:rsid w:val="4EDD35B4"/>
    <w:rsid w:val="4F18319B"/>
    <w:rsid w:val="4F4915A7"/>
    <w:rsid w:val="4FDD6193"/>
    <w:rsid w:val="50055E16"/>
    <w:rsid w:val="508D5E0B"/>
    <w:rsid w:val="522E717A"/>
    <w:rsid w:val="52391DA6"/>
    <w:rsid w:val="52416EAD"/>
    <w:rsid w:val="52BC29D7"/>
    <w:rsid w:val="53807561"/>
    <w:rsid w:val="551C150B"/>
    <w:rsid w:val="555D39F2"/>
    <w:rsid w:val="558772CD"/>
    <w:rsid w:val="559D2DBC"/>
    <w:rsid w:val="56E7358D"/>
    <w:rsid w:val="571050A0"/>
    <w:rsid w:val="57A4224B"/>
    <w:rsid w:val="58003366"/>
    <w:rsid w:val="582165D3"/>
    <w:rsid w:val="5875340D"/>
    <w:rsid w:val="58FB5B7E"/>
    <w:rsid w:val="598F6750"/>
    <w:rsid w:val="59CF4D9E"/>
    <w:rsid w:val="5A0A5DD6"/>
    <w:rsid w:val="5A6574B1"/>
    <w:rsid w:val="5B0A0784"/>
    <w:rsid w:val="5B1A473F"/>
    <w:rsid w:val="5B542902"/>
    <w:rsid w:val="5CE172C2"/>
    <w:rsid w:val="5CE2303B"/>
    <w:rsid w:val="5CE96177"/>
    <w:rsid w:val="5DF50B4C"/>
    <w:rsid w:val="5DF748C4"/>
    <w:rsid w:val="5EC450EE"/>
    <w:rsid w:val="5FF45609"/>
    <w:rsid w:val="5FFB4B3F"/>
    <w:rsid w:val="600D7171"/>
    <w:rsid w:val="60732927"/>
    <w:rsid w:val="61630BEE"/>
    <w:rsid w:val="616A1227"/>
    <w:rsid w:val="616C7377"/>
    <w:rsid w:val="624125B1"/>
    <w:rsid w:val="62946B85"/>
    <w:rsid w:val="62B02254"/>
    <w:rsid w:val="63456A3B"/>
    <w:rsid w:val="63730E90"/>
    <w:rsid w:val="63DA2F1F"/>
    <w:rsid w:val="641206A9"/>
    <w:rsid w:val="65654809"/>
    <w:rsid w:val="65FF5681"/>
    <w:rsid w:val="66486604"/>
    <w:rsid w:val="66B71C33"/>
    <w:rsid w:val="66BE2423"/>
    <w:rsid w:val="679B2764"/>
    <w:rsid w:val="67AD5AA8"/>
    <w:rsid w:val="67E4235D"/>
    <w:rsid w:val="686D4835"/>
    <w:rsid w:val="68BF2482"/>
    <w:rsid w:val="6A707ED8"/>
    <w:rsid w:val="6B225676"/>
    <w:rsid w:val="6B5B0B88"/>
    <w:rsid w:val="6CAB169B"/>
    <w:rsid w:val="6D2C27DC"/>
    <w:rsid w:val="6DFC1C1C"/>
    <w:rsid w:val="6F255735"/>
    <w:rsid w:val="6F6873CF"/>
    <w:rsid w:val="6F7A7103"/>
    <w:rsid w:val="6F9957DB"/>
    <w:rsid w:val="704F233D"/>
    <w:rsid w:val="70E62CA2"/>
    <w:rsid w:val="714A1482"/>
    <w:rsid w:val="72536115"/>
    <w:rsid w:val="735E1215"/>
    <w:rsid w:val="74652AB7"/>
    <w:rsid w:val="751004B8"/>
    <w:rsid w:val="75F220E9"/>
    <w:rsid w:val="760040C2"/>
    <w:rsid w:val="776D5ECB"/>
    <w:rsid w:val="77D01FB6"/>
    <w:rsid w:val="787C3EEC"/>
    <w:rsid w:val="78D67AA0"/>
    <w:rsid w:val="796F10ED"/>
    <w:rsid w:val="7A8E533A"/>
    <w:rsid w:val="7B1E74DC"/>
    <w:rsid w:val="7BAB5214"/>
    <w:rsid w:val="7BD81D81"/>
    <w:rsid w:val="7CA51CF9"/>
    <w:rsid w:val="7CA61FA6"/>
    <w:rsid w:val="7D2A2168"/>
    <w:rsid w:val="7E026C41"/>
    <w:rsid w:val="7E2D63B4"/>
    <w:rsid w:val="7EF46ED2"/>
    <w:rsid w:val="7F0D7F93"/>
    <w:rsid w:val="7F62781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3540</Words>
  <Characters>3825</Characters>
  <Lines>0</Lines>
  <Paragraphs>0</Paragraphs>
  <ScaleCrop>false</ScaleCrop>
  <LinksUpToDate>false</LinksUpToDate>
  <CharactersWithSpaces>3845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2022-02-15T03:42:00Z</dcterms:created>
  <dc:creator>新星</dc:creator>
  <cp:lastModifiedBy>张皇姬</cp:lastModifiedBy>
  <dcterms:modified xsi:type="dcterms:W3CDTF">2023-08-04T02:17:03Z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605EBB3FFCBA4CF8AB9A3E55FF5558A7</vt:lpwstr>
  </property>
</Properties>
</file>