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b/>
          <w:bCs/>
          <w:sz w:val="52"/>
          <w:szCs w:val="52"/>
        </w:rPr>
      </w:pPr>
      <w:r>
        <w:rPr>
          <w:rFonts w:hint="default" w:ascii="Times New Roman" w:hAnsi="Times New Roman" w:cs="Times New Roman"/>
          <w:b/>
          <w:bCs/>
          <w:sz w:val="52"/>
          <w:szCs w:val="52"/>
        </w:rPr>
        <w:t>2022年三亚市农业机械化管理局单位预算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6"/>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三亚市农业机械化管理局单位概况</w:t>
      </w:r>
    </w:p>
    <w:p>
      <w:pPr>
        <w:pStyle w:val="6"/>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6"/>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部门预算单位构成（单位公开没有这部分内容）</w:t>
      </w:r>
    </w:p>
    <w:p>
      <w:pPr>
        <w:pStyle w:val="6"/>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三亚市农业机械化管理局2022年单位预算表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单位收支总表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单位收入总表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单位支出总表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6"/>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三亚市农业机械化管理局2022年单位预算情况明</w:t>
      </w: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pStyle w:val="6"/>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三亚市农业机械化管理局单位概况</w:t>
      </w:r>
    </w:p>
    <w:p>
      <w:pPr>
        <w:pStyle w:val="6"/>
        <w:ind w:firstLine="0" w:firstLineChars="0"/>
        <w:rPr>
          <w:rFonts w:hint="default" w:ascii="Times New Roman" w:hAnsi="Times New Roman" w:eastAsia="仿宋_GB2312" w:cs="Times New Roman"/>
          <w:sz w:val="32"/>
          <w:szCs w:val="32"/>
        </w:rPr>
      </w:pPr>
    </w:p>
    <w:p>
      <w:pPr>
        <w:numPr>
          <w:ilvl w:val="0"/>
          <w:numId w:val="5"/>
        </w:numPr>
        <w:ind w:left="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r>
        <w:rPr>
          <w:rFonts w:hint="default" w:ascii="Times New Roman" w:hAnsi="Times New Roman" w:eastAsia="仿宋_GB2312" w:cs="Times New Roman"/>
          <w:sz w:val="32"/>
          <w:szCs w:val="32"/>
          <w:lang w:val="zh-CN"/>
        </w:rPr>
        <w:t>贯彻执行国家有关农业机械管理和推广的法律、法规。负责农业机械化发展规划草案并组织实施。负责对全市农业机械化的管理，协调农机系统各单位的组织工作，协调农业机械教育培训、安全监督工作。指导农机维修管理工作，制定管理规范和技术措施，并监督实施。负责全市农机化新技术、新机具的引进、试验、示范推广和总结工作。负责指导全市各镇农机化技术推广机构 及农机化技术推广体系队伍的建设。</w:t>
      </w:r>
    </w:p>
    <w:p>
      <w:pPr>
        <w:numPr>
          <w:ilvl w:val="0"/>
          <w:numId w:val="5"/>
        </w:numPr>
        <w:ind w:left="20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val="zh-CN"/>
        </w:rPr>
        <w:t>内设机构</w:t>
      </w:r>
      <w:bookmarkStart w:id="0" w:name="_GoBack"/>
      <w:bookmarkEnd w:id="0"/>
    </w:p>
    <w:p>
      <w:pPr>
        <w:numPr>
          <w:numId w:val="0"/>
        </w:numPr>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val="zh-CN"/>
        </w:rPr>
        <w:t>我单位为正科级事业单位，编制数5名，在编人员3人，内设办公室与财务室。</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第二部分 三亚市农业机械化管理局2021年单位预算表</w:t>
      </w:r>
    </w:p>
    <w:p>
      <w:pPr>
        <w:jc w:val="left"/>
        <w:rPr>
          <w:rFonts w:hint="default" w:ascii="Times New Roman" w:hAnsi="Times New Roman" w:eastAsia="黑体" w:cs="Times New Roman"/>
          <w:sz w:val="32"/>
          <w:szCs w:val="32"/>
        </w:rPr>
      </w:pPr>
    </w:p>
    <w:p>
      <w:pPr>
        <w:rPr>
          <w:rFonts w:hint="default" w:ascii="Times New Roman" w:hAnsi="Times New Roman" w:eastAsia="黑体" w:cs="Times New Roman"/>
          <w:sz w:val="32"/>
          <w:szCs w:val="32"/>
        </w:rPr>
        <w:sectPr>
          <w:footerReference r:id="rId3" w:type="default"/>
          <w:pgSz w:w="11906" w:h="16838"/>
          <w:pgMar w:top="382" w:right="1800" w:bottom="1440" w:left="1800" w:header="431" w:footer="992" w:gutter="0"/>
          <w:cols w:space="720" w:num="1"/>
          <w:docGrid w:type="lines" w:linePitch="312" w:charSpace="0"/>
        </w:sectPr>
      </w:pPr>
    </w:p>
    <w:p>
      <w:pPr>
        <w:rPr>
          <w:rFonts w:hint="default" w:ascii="Times New Roman" w:hAnsi="Times New Roman" w:eastAsia="黑体" w:cs="Times New Roman"/>
          <w:sz w:val="32"/>
          <w:szCs w:val="32"/>
        </w:rPr>
      </w:pPr>
    </w:p>
    <w:tbl>
      <w:tblPr>
        <w:tblStyle w:val="5"/>
        <w:tblW w:w="12634" w:type="dxa"/>
        <w:tblInd w:w="680" w:type="dxa"/>
        <w:tblLayout w:type="fixed"/>
        <w:tblCellMar>
          <w:top w:w="15" w:type="dxa"/>
          <w:left w:w="15" w:type="dxa"/>
          <w:bottom w:w="15" w:type="dxa"/>
          <w:right w:w="15" w:type="dxa"/>
        </w:tblCellMar>
      </w:tblPr>
      <w:tblGrid>
        <w:gridCol w:w="2940"/>
        <w:gridCol w:w="1684"/>
        <w:gridCol w:w="3030"/>
        <w:gridCol w:w="1590"/>
        <w:gridCol w:w="1695"/>
        <w:gridCol w:w="1695"/>
      </w:tblGrid>
      <w:tr>
        <w:tblPrEx>
          <w:tblLayout w:type="fixed"/>
        </w:tblPrEx>
        <w:trPr>
          <w:trHeight w:val="450" w:hRule="atLeast"/>
        </w:trPr>
        <w:tc>
          <w:tcPr>
            <w:tcW w:w="12634" w:type="dxa"/>
            <w:gridSpan w:val="6"/>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hint="default" w:ascii="Times New Roman" w:hAnsi="Times New Roman" w:eastAsia="黑体" w:cs="Times New Roman"/>
                <w:b/>
                <w:color w:val="000000"/>
                <w:kern w:val="0"/>
                <w:sz w:val="32"/>
                <w:szCs w:val="32"/>
              </w:rPr>
            </w:pPr>
            <w:r>
              <w:rPr>
                <w:rFonts w:hint="default" w:ascii="Times New Roman" w:hAnsi="Times New Roman" w:eastAsia="黑体" w:cs="Times New Roman"/>
                <w:b/>
                <w:color w:val="000000"/>
                <w:kern w:val="0"/>
                <w:sz w:val="32"/>
                <w:szCs w:val="32"/>
              </w:rPr>
              <w:t>财政拨款收支总表</w:t>
            </w:r>
          </w:p>
          <w:p>
            <w:pPr>
              <w:widowControl/>
              <w:jc w:val="right"/>
              <w:textAlignment w:val="center"/>
              <w:rPr>
                <w:rFonts w:hint="default" w:ascii="Times New Roman" w:hAnsi="Times New Roman" w:eastAsia="黑体" w:cs="Times New Roman"/>
                <w:b/>
                <w:color w:val="000000"/>
                <w:kern w:val="0"/>
                <w:sz w:val="32"/>
                <w:szCs w:val="32"/>
              </w:rPr>
            </w:pPr>
            <w:r>
              <w:rPr>
                <w:rFonts w:hint="default" w:ascii="Times New Roman" w:hAnsi="Times New Roman" w:eastAsia="仿宋_GB2312" w:cs="Times New Roman"/>
                <w:bCs/>
                <w:color w:val="000000"/>
                <w:kern w:val="0"/>
                <w:sz w:val="22"/>
              </w:rPr>
              <w:t>单位：万元</w:t>
            </w:r>
          </w:p>
        </w:tc>
      </w:tr>
      <w:tr>
        <w:tblPrEx>
          <w:tblLayout w:type="fixed"/>
        </w:tblPrEx>
        <w:trPr>
          <w:trHeight w:val="480" w:hRule="atLeast"/>
        </w:trPr>
        <w:tc>
          <w:tcPr>
            <w:tcW w:w="4624"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收    入</w:t>
            </w:r>
          </w:p>
        </w:tc>
        <w:tc>
          <w:tcPr>
            <w:tcW w:w="8010" w:type="dxa"/>
            <w:gridSpan w:val="4"/>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支    出</w:t>
            </w:r>
          </w:p>
        </w:tc>
      </w:tr>
      <w:tr>
        <w:tblPrEx>
          <w:tblLayout w:type="fixed"/>
        </w:tblPrEx>
        <w:trPr>
          <w:trHeight w:val="480" w:hRule="atLeast"/>
        </w:trPr>
        <w:tc>
          <w:tcPr>
            <w:tcW w:w="294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项    目</w:t>
            </w:r>
          </w:p>
        </w:tc>
        <w:tc>
          <w:tcPr>
            <w:tcW w:w="1684"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预算数</w:t>
            </w:r>
          </w:p>
        </w:tc>
        <w:tc>
          <w:tcPr>
            <w:tcW w:w="303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项    目</w:t>
            </w:r>
          </w:p>
        </w:tc>
        <w:tc>
          <w:tcPr>
            <w:tcW w:w="159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合计</w:t>
            </w:r>
          </w:p>
        </w:tc>
        <w:tc>
          <w:tcPr>
            <w:tcW w:w="1695"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一般公共预算</w:t>
            </w:r>
          </w:p>
        </w:tc>
        <w:tc>
          <w:tcPr>
            <w:tcW w:w="1695"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政府性基金预算</w:t>
            </w: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Fonts w:hint="default" w:ascii="Times New Roman" w:hAnsi="Times New Roman" w:cs="Times New Roman"/>
                <w:color w:val="000000"/>
                <w:kern w:val="0"/>
                <w:sz w:val="22"/>
              </w:rPr>
              <w:t>一、本年收入</w:t>
            </w: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r>
              <w:rPr>
                <w:rFonts w:hint="default" w:ascii="Times New Roman" w:hAnsi="Times New Roman" w:cs="Times New Roman"/>
                <w:color w:val="000000"/>
                <w:sz w:val="22"/>
              </w:rPr>
              <w:t>336.84</w:t>
            </w: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Fonts w:hint="default" w:ascii="Times New Roman" w:hAnsi="Times New Roman" w:cs="Times New Roman"/>
                <w:color w:val="000000"/>
                <w:kern w:val="0"/>
                <w:sz w:val="22"/>
              </w:rPr>
              <w:t>一、本年支出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center"/>
              <w:textAlignment w:val="center"/>
              <w:rPr>
                <w:rFonts w:hint="default" w:ascii="Times New Roman" w:hAnsi="Times New Roman" w:cs="Times New Roman"/>
                <w:color w:val="000000"/>
                <w:sz w:val="22"/>
              </w:rPr>
            </w:pPr>
            <w:r>
              <w:rPr>
                <w:rFonts w:hint="default" w:ascii="Times New Roman" w:hAnsi="Times New Roman" w:cs="Times New Roman"/>
                <w:color w:val="000000"/>
                <w:kern w:val="0"/>
                <w:sz w:val="22"/>
              </w:rPr>
              <w:t>547.26</w:t>
            </w: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center"/>
              <w:textAlignment w:val="center"/>
              <w:rPr>
                <w:rFonts w:hint="default" w:ascii="Times New Roman" w:hAnsi="Times New Roman" w:cs="Times New Roman"/>
                <w:color w:val="000000"/>
                <w:sz w:val="22"/>
              </w:rPr>
            </w:pPr>
            <w:r>
              <w:rPr>
                <w:rFonts w:hint="default" w:ascii="Times New Roman" w:hAnsi="Times New Roman" w:cs="Times New Roman"/>
                <w:color w:val="000000"/>
                <w:kern w:val="0"/>
                <w:sz w:val="22"/>
              </w:rPr>
              <w:t>547.26</w:t>
            </w: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一般公共预算拨款收入</w:t>
            </w: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r>
              <w:rPr>
                <w:rFonts w:hint="default" w:ascii="Times New Roman" w:hAnsi="Times New Roman" w:cs="Times New Roman"/>
                <w:color w:val="000000"/>
                <w:sz w:val="22"/>
              </w:rPr>
              <w:t>336.84</w:t>
            </w: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一般公共服务支出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政府性基金预算拨款收入</w:t>
            </w: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外交支出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国防支出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公共安全支出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教育支出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科学技术支出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文化旅游体育与传媒支出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社会保障和就业支出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center"/>
              <w:textAlignment w:val="center"/>
              <w:rPr>
                <w:rFonts w:hint="default" w:ascii="Times New Roman" w:hAnsi="Times New Roman" w:cs="Times New Roman"/>
                <w:color w:val="000000"/>
                <w:sz w:val="22"/>
              </w:rPr>
            </w:pPr>
            <w:r>
              <w:rPr>
                <w:rFonts w:hint="default" w:ascii="Times New Roman" w:hAnsi="Times New Roman" w:cs="Times New Roman"/>
                <w:color w:val="000000"/>
                <w:kern w:val="0"/>
                <w:sz w:val="22"/>
              </w:rPr>
              <w:t>32.41</w:t>
            </w: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center"/>
              <w:textAlignment w:val="center"/>
              <w:rPr>
                <w:rFonts w:hint="default" w:ascii="Times New Roman" w:hAnsi="Times New Roman" w:cs="Times New Roman"/>
                <w:color w:val="000000"/>
                <w:sz w:val="22"/>
              </w:rPr>
            </w:pPr>
            <w:r>
              <w:rPr>
                <w:rFonts w:hint="default" w:ascii="Times New Roman" w:hAnsi="Times New Roman" w:cs="Times New Roman"/>
                <w:color w:val="000000"/>
                <w:kern w:val="0"/>
                <w:sz w:val="22"/>
              </w:rPr>
              <w:t>32.41</w:t>
            </w: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社会保险基金支出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397"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卫生健康支出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center"/>
              <w:textAlignment w:val="center"/>
              <w:rPr>
                <w:rFonts w:hint="default" w:ascii="Times New Roman" w:hAnsi="Times New Roman" w:cs="Times New Roman"/>
                <w:color w:val="000000"/>
                <w:sz w:val="22"/>
              </w:rPr>
            </w:pPr>
            <w:r>
              <w:rPr>
                <w:rFonts w:hint="default" w:ascii="Times New Roman" w:hAnsi="Times New Roman" w:cs="Times New Roman"/>
                <w:color w:val="000000"/>
                <w:kern w:val="0"/>
                <w:sz w:val="22"/>
              </w:rPr>
              <w:t>14.04</w:t>
            </w: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center"/>
              <w:textAlignment w:val="center"/>
              <w:rPr>
                <w:rFonts w:hint="default" w:ascii="Times New Roman" w:hAnsi="Times New Roman" w:cs="Times New Roman"/>
                <w:color w:val="000000"/>
                <w:sz w:val="22"/>
              </w:rPr>
            </w:pPr>
            <w:r>
              <w:rPr>
                <w:rFonts w:hint="default" w:ascii="Times New Roman" w:hAnsi="Times New Roman" w:cs="Times New Roman"/>
                <w:color w:val="000000"/>
                <w:kern w:val="0"/>
                <w:sz w:val="22"/>
              </w:rPr>
              <w:t>14.04</w:t>
            </w: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节能环保支出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城乡社区支出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农林水支出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center"/>
              <w:textAlignment w:val="center"/>
              <w:rPr>
                <w:rFonts w:hint="default" w:ascii="Times New Roman" w:hAnsi="Times New Roman" w:cs="Times New Roman"/>
                <w:color w:val="000000"/>
                <w:sz w:val="22"/>
              </w:rPr>
            </w:pPr>
            <w:r>
              <w:rPr>
                <w:rFonts w:hint="default" w:ascii="Times New Roman" w:hAnsi="Times New Roman" w:cs="Times New Roman"/>
                <w:color w:val="000000"/>
                <w:kern w:val="0"/>
                <w:sz w:val="22"/>
              </w:rPr>
              <w:t>496.64</w:t>
            </w: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center"/>
              <w:textAlignment w:val="center"/>
              <w:rPr>
                <w:rFonts w:hint="default" w:ascii="Times New Roman" w:hAnsi="Times New Roman" w:cs="Times New Roman"/>
                <w:color w:val="000000"/>
                <w:sz w:val="22"/>
              </w:rPr>
            </w:pPr>
            <w:r>
              <w:rPr>
                <w:rFonts w:hint="default" w:ascii="Times New Roman" w:hAnsi="Times New Roman" w:cs="Times New Roman"/>
                <w:color w:val="000000"/>
                <w:kern w:val="0"/>
                <w:sz w:val="22"/>
              </w:rPr>
              <w:t>496.64</w:t>
            </w: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交通运输支出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资源勘探工业信息等支出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商业服务业等支出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金融支出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援助其他地区支出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自然资源海洋气象等支出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住房保障支出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center"/>
              <w:textAlignment w:val="center"/>
              <w:rPr>
                <w:rFonts w:hint="default" w:ascii="Times New Roman" w:hAnsi="Times New Roman" w:cs="Times New Roman"/>
                <w:color w:val="000000"/>
                <w:sz w:val="22"/>
              </w:rPr>
            </w:pPr>
            <w:r>
              <w:rPr>
                <w:rFonts w:hint="default" w:ascii="Times New Roman" w:hAnsi="Times New Roman" w:cs="Times New Roman"/>
                <w:color w:val="000000"/>
                <w:kern w:val="0"/>
                <w:sz w:val="22"/>
              </w:rPr>
              <w:t>4.16</w:t>
            </w: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center"/>
              <w:textAlignment w:val="center"/>
              <w:rPr>
                <w:rFonts w:hint="default" w:ascii="Times New Roman" w:hAnsi="Times New Roman" w:cs="Times New Roman"/>
                <w:color w:val="000000"/>
                <w:sz w:val="22"/>
              </w:rPr>
            </w:pPr>
            <w:r>
              <w:rPr>
                <w:rFonts w:hint="default" w:ascii="Times New Roman" w:hAnsi="Times New Roman" w:cs="Times New Roman"/>
                <w:color w:val="000000"/>
                <w:kern w:val="0"/>
                <w:sz w:val="22"/>
              </w:rPr>
              <w:t>4.16</w:t>
            </w: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粮油物资储备支出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国有资本经营预算支出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灾害防治及应急管理支出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预备费</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其他支出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转移性支出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债务还本支出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债务付息支出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债务发行费用支出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抗疫特别国债安排的支出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社会保险基金支出</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Fonts w:hint="default" w:ascii="Times New Roman" w:hAnsi="Times New Roman" w:cs="Times New Roman"/>
                <w:color w:val="000000"/>
                <w:kern w:val="0"/>
                <w:sz w:val="22"/>
              </w:rPr>
              <w:t>二、上年结转</w:t>
            </w: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r>
              <w:rPr>
                <w:rFonts w:hint="default" w:ascii="Times New Roman" w:hAnsi="Times New Roman" w:cs="Times New Roman"/>
                <w:color w:val="000000"/>
                <w:sz w:val="22"/>
              </w:rPr>
              <w:t>210.42</w:t>
            </w: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Fonts w:hint="default" w:ascii="Times New Roman" w:hAnsi="Times New Roman" w:cs="Times New Roman"/>
                <w:color w:val="000000"/>
                <w:kern w:val="0"/>
                <w:sz w:val="22"/>
              </w:rPr>
              <w:t>二、结转下年</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center"/>
              <w:textAlignment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center"/>
              <w:textAlignment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（一）一般公共预算拨款</w:t>
            </w: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r>
              <w:rPr>
                <w:rFonts w:hint="default" w:ascii="Times New Roman" w:hAnsi="Times New Roman" w:cs="Times New Roman"/>
                <w:color w:val="000000"/>
                <w:sz w:val="22"/>
              </w:rPr>
              <w:t>210.42</w:t>
            </w: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left"/>
              <w:textAlignment w:val="center"/>
              <w:rPr>
                <w:rFonts w:hint="default" w:ascii="Times New Roman" w:hAnsi="Times New Roman" w:cs="Times New Roman"/>
                <w:color w:val="000000"/>
                <w:sz w:val="22"/>
              </w:rPr>
            </w:pPr>
            <w:r>
              <w:rPr>
                <w:rStyle w:val="7"/>
                <w:rFonts w:hint="default" w:ascii="Times New Roman" w:hAnsi="Times New Roman" w:cs="Times New Roman"/>
              </w:rPr>
              <w:t xml:space="preserve"> （二）政府性基金预算拨款</w:t>
            </w: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303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default" w:ascii="Times New Roman" w:hAnsi="Times New Roman" w:cs="Times New Roman"/>
                <w:color w:val="000000"/>
                <w:sz w:val="22"/>
              </w:rPr>
            </w:pP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r>
      <w:tr>
        <w:tblPrEx>
          <w:tblLayout w:type="fixed"/>
        </w:tblPrEx>
        <w:trPr>
          <w:trHeight w:val="450" w:hRule="atLeast"/>
        </w:trPr>
        <w:tc>
          <w:tcPr>
            <w:tcW w:w="2940" w:type="dxa"/>
            <w:tcBorders>
              <w:top w:val="single" w:color="C2C3C4" w:sz="4" w:space="0"/>
              <w:left w:val="single" w:color="C2C3C4" w:sz="4" w:space="0"/>
              <w:bottom w:val="single" w:color="C2C3C4" w:sz="4" w:space="0"/>
              <w:right w:val="single" w:color="C2C3C4" w:sz="4" w:space="0"/>
            </w:tcBorders>
            <w:shd w:val="clear" w:color="auto" w:fill="auto"/>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收入总计</w:t>
            </w:r>
          </w:p>
        </w:tc>
        <w:tc>
          <w:tcPr>
            <w:tcW w:w="1684"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b/>
                <w:color w:val="000000"/>
                <w:sz w:val="22"/>
              </w:rPr>
            </w:pPr>
            <w:r>
              <w:rPr>
                <w:rFonts w:hint="default" w:ascii="Times New Roman" w:hAnsi="Times New Roman" w:cs="Times New Roman"/>
                <w:b/>
                <w:color w:val="000000"/>
                <w:sz w:val="22"/>
              </w:rPr>
              <w:t>547.26</w:t>
            </w:r>
          </w:p>
        </w:tc>
        <w:tc>
          <w:tcPr>
            <w:tcW w:w="3030" w:type="dxa"/>
            <w:tcBorders>
              <w:top w:val="single" w:color="C2C3C4" w:sz="4" w:space="0"/>
              <w:left w:val="single" w:color="C2C3C4" w:sz="4" w:space="0"/>
              <w:bottom w:val="single" w:color="C2C3C4" w:sz="4" w:space="0"/>
              <w:right w:val="single" w:color="C2C3C4" w:sz="4" w:space="0"/>
            </w:tcBorders>
            <w:shd w:val="clear" w:color="auto" w:fill="auto"/>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支出总计</w:t>
            </w:r>
          </w:p>
        </w:tc>
        <w:tc>
          <w:tcPr>
            <w:tcW w:w="159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b/>
                <w:color w:val="000000"/>
                <w:sz w:val="22"/>
              </w:rPr>
            </w:pPr>
            <w:r>
              <w:rPr>
                <w:rFonts w:hint="default" w:ascii="Times New Roman" w:hAnsi="Times New Roman" w:cs="Times New Roman"/>
                <w:b/>
                <w:color w:val="000000"/>
                <w:sz w:val="22"/>
              </w:rPr>
              <w:t>547.26</w:t>
            </w: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b/>
                <w:color w:val="000000"/>
                <w:sz w:val="22"/>
              </w:rPr>
            </w:pPr>
            <w:r>
              <w:rPr>
                <w:rFonts w:hint="default" w:ascii="Times New Roman" w:hAnsi="Times New Roman" w:cs="Times New Roman"/>
                <w:b/>
                <w:color w:val="000000"/>
                <w:sz w:val="22"/>
              </w:rPr>
              <w:t>547.26</w:t>
            </w:r>
          </w:p>
        </w:tc>
        <w:tc>
          <w:tcPr>
            <w:tcW w:w="169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b/>
                <w:color w:val="000000"/>
                <w:sz w:val="22"/>
              </w:rPr>
            </w:pPr>
          </w:p>
        </w:tc>
      </w:tr>
    </w:tbl>
    <w:p>
      <w:pPr>
        <w:rPr>
          <w:rFonts w:hint="default" w:ascii="Times New Roman" w:hAnsi="Times New Roman" w:eastAsia="黑体" w:cs="Times New Roman"/>
          <w:sz w:val="32"/>
          <w:szCs w:val="32"/>
        </w:rPr>
      </w:pPr>
    </w:p>
    <w:tbl>
      <w:tblPr>
        <w:tblStyle w:val="5"/>
        <w:tblW w:w="13625" w:type="dxa"/>
        <w:tblInd w:w="93" w:type="dxa"/>
        <w:tblLayout w:type="fixed"/>
        <w:tblCellMar>
          <w:top w:w="0" w:type="dxa"/>
          <w:left w:w="108" w:type="dxa"/>
          <w:bottom w:w="0" w:type="dxa"/>
          <w:right w:w="108" w:type="dxa"/>
        </w:tblCellMar>
      </w:tblPr>
      <w:tblGrid>
        <w:gridCol w:w="945"/>
        <w:gridCol w:w="940"/>
        <w:gridCol w:w="940"/>
        <w:gridCol w:w="4920"/>
        <w:gridCol w:w="1960"/>
        <w:gridCol w:w="1960"/>
        <w:gridCol w:w="1960"/>
      </w:tblGrid>
      <w:tr>
        <w:tblPrEx>
          <w:tblLayout w:type="fixed"/>
        </w:tblPrEx>
        <w:trPr>
          <w:trHeight w:val="327" w:hRule="atLeast"/>
        </w:trPr>
        <w:tc>
          <w:tcPr>
            <w:tcW w:w="2825"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left"/>
              <w:rPr>
                <w:rFonts w:hint="default" w:ascii="Times New Roman" w:hAnsi="Times New Roman" w:cs="Times New Roman"/>
                <w:color w:val="C0C0C0"/>
                <w:kern w:val="0"/>
                <w:sz w:val="20"/>
                <w:szCs w:val="20"/>
              </w:rPr>
            </w:pPr>
            <w:r>
              <w:rPr>
                <w:rFonts w:hint="default" w:ascii="Times New Roman" w:hAnsi="Times New Roman" w:cs="Times New Roman"/>
                <w:color w:val="C0C0C0"/>
                <w:kern w:val="0"/>
                <w:sz w:val="20"/>
                <w:szCs w:val="20"/>
              </w:rPr>
              <w:t>　</w:t>
            </w:r>
          </w:p>
        </w:tc>
        <w:tc>
          <w:tcPr>
            <w:tcW w:w="4920" w:type="dxa"/>
            <w:tcBorders>
              <w:top w:val="single" w:color="FFFFFF" w:sz="4" w:space="0"/>
              <w:left w:val="nil"/>
              <w:bottom w:val="single" w:color="FFFFFF" w:sz="4" w:space="0"/>
              <w:right w:val="single" w:color="FFFFFF" w:sz="4" w:space="0"/>
            </w:tcBorders>
            <w:shd w:val="clear" w:color="auto" w:fill="auto"/>
            <w:vAlign w:val="center"/>
          </w:tcPr>
          <w:p>
            <w:pPr>
              <w:widowControl/>
              <w:jc w:val="left"/>
              <w:rPr>
                <w:rFonts w:hint="default" w:ascii="Times New Roman" w:hAnsi="Times New Roman" w:cs="Times New Roman"/>
                <w:color w:val="C0C0C0"/>
                <w:kern w:val="0"/>
                <w:sz w:val="22"/>
              </w:rPr>
            </w:pPr>
            <w:r>
              <w:rPr>
                <w:rFonts w:hint="default" w:ascii="Times New Roman" w:hAnsi="Times New Roman" w:cs="Times New Roman"/>
                <w:color w:val="C0C0C0"/>
                <w:kern w:val="0"/>
                <w:sz w:val="22"/>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pPr>
              <w:widowControl/>
              <w:jc w:val="left"/>
              <w:rPr>
                <w:rFonts w:hint="default" w:ascii="Times New Roman" w:hAnsi="Times New Roman" w:cs="Times New Roman"/>
                <w:color w:val="C0C0C0"/>
                <w:kern w:val="0"/>
                <w:sz w:val="18"/>
                <w:szCs w:val="18"/>
              </w:rPr>
            </w:pPr>
            <w:r>
              <w:rPr>
                <w:rFonts w:hint="default" w:ascii="Times New Roman" w:hAnsi="Times New Roman" w:cs="Times New Roman"/>
                <w:color w:val="C0C0C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pPr>
              <w:widowControl/>
              <w:jc w:val="left"/>
              <w:rPr>
                <w:rFonts w:hint="default" w:ascii="Times New Roman" w:hAnsi="Times New Roman" w:cs="Times New Roman"/>
                <w:color w:val="C0C0C0"/>
                <w:kern w:val="0"/>
                <w:sz w:val="18"/>
                <w:szCs w:val="18"/>
              </w:rPr>
            </w:pPr>
            <w:r>
              <w:rPr>
                <w:rFonts w:hint="default" w:ascii="Times New Roman" w:hAnsi="Times New Roman" w:cs="Times New Roman"/>
                <w:color w:val="C0C0C0"/>
                <w:kern w:val="0"/>
                <w:sz w:val="18"/>
                <w:szCs w:val="18"/>
              </w:rPr>
              <w:t>　</w:t>
            </w:r>
          </w:p>
        </w:tc>
        <w:tc>
          <w:tcPr>
            <w:tcW w:w="1960" w:type="dxa"/>
            <w:tcBorders>
              <w:top w:val="single" w:color="FFFFFF" w:sz="4" w:space="0"/>
              <w:left w:val="nil"/>
              <w:bottom w:val="single" w:color="FFFFFF" w:sz="4" w:space="0"/>
              <w:right w:val="single" w:color="FFFFFF" w:sz="4" w:space="0"/>
            </w:tcBorders>
            <w:shd w:val="clear" w:color="auto" w:fill="auto"/>
            <w:vAlign w:val="center"/>
          </w:tcPr>
          <w:p>
            <w:pPr>
              <w:widowControl/>
              <w:jc w:val="left"/>
              <w:rPr>
                <w:rFonts w:hint="default" w:ascii="Times New Roman" w:hAnsi="Times New Roman" w:cs="Times New Roman"/>
                <w:color w:val="C0C0C0"/>
                <w:kern w:val="0"/>
                <w:sz w:val="18"/>
                <w:szCs w:val="18"/>
              </w:rPr>
            </w:pPr>
            <w:r>
              <w:rPr>
                <w:rFonts w:hint="default" w:ascii="Times New Roman" w:hAnsi="Times New Roman" w:cs="Times New Roman"/>
                <w:color w:val="C0C0C0"/>
                <w:kern w:val="0"/>
                <w:sz w:val="18"/>
                <w:szCs w:val="18"/>
              </w:rPr>
              <w:t>　</w:t>
            </w:r>
          </w:p>
        </w:tc>
      </w:tr>
      <w:tr>
        <w:tblPrEx>
          <w:tblLayout w:type="fixed"/>
        </w:tblPrEx>
        <w:trPr>
          <w:trHeight w:val="458" w:hRule="atLeast"/>
        </w:trPr>
        <w:tc>
          <w:tcPr>
            <w:tcW w:w="13625" w:type="dxa"/>
            <w:gridSpan w:val="7"/>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rPr>
                <w:rFonts w:hint="default" w:ascii="Times New Roman" w:hAnsi="Times New Roman" w:eastAsia="黑体" w:cs="Times New Roman"/>
                <w:b/>
                <w:bCs/>
                <w:kern w:val="0"/>
                <w:sz w:val="32"/>
                <w:szCs w:val="32"/>
              </w:rPr>
            </w:pPr>
            <w:r>
              <w:rPr>
                <w:rFonts w:hint="default" w:ascii="Times New Roman" w:hAnsi="Times New Roman" w:eastAsia="黑体" w:cs="Times New Roman"/>
                <w:b/>
                <w:bCs/>
                <w:kern w:val="0"/>
                <w:sz w:val="32"/>
                <w:szCs w:val="32"/>
              </w:rPr>
              <w:t>一般公共预算支出表</w:t>
            </w:r>
          </w:p>
        </w:tc>
      </w:tr>
      <w:tr>
        <w:tblPrEx>
          <w:tblLayout w:type="fixed"/>
        </w:tblPrEx>
        <w:trPr>
          <w:trHeight w:val="390" w:hRule="atLeast"/>
        </w:trPr>
        <w:tc>
          <w:tcPr>
            <w:tcW w:w="945" w:type="dxa"/>
            <w:tcBorders>
              <w:top w:val="nil"/>
              <w:left w:val="single" w:color="FFFFFF" w:sz="4" w:space="0"/>
              <w:bottom w:val="nil"/>
              <w:right w:val="single" w:color="FFFFFF"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96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96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960" w:type="dxa"/>
            <w:tcBorders>
              <w:top w:val="nil"/>
              <w:left w:val="nil"/>
              <w:bottom w:val="nil"/>
              <w:right w:val="single" w:color="FFFFFF"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金额单位：万元</w:t>
            </w:r>
          </w:p>
        </w:tc>
      </w:tr>
      <w:tr>
        <w:tblPrEx>
          <w:tblLayout w:type="fixed"/>
        </w:tblPrEx>
        <w:trPr>
          <w:trHeight w:val="488" w:hRule="atLeast"/>
        </w:trPr>
        <w:tc>
          <w:tcPr>
            <w:tcW w:w="7745" w:type="dxa"/>
            <w:gridSpan w:val="4"/>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支出功能分类科目</w:t>
            </w:r>
          </w:p>
        </w:tc>
        <w:tc>
          <w:tcPr>
            <w:tcW w:w="5880" w:type="dxa"/>
            <w:gridSpan w:val="3"/>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2022年预算数</w:t>
            </w:r>
          </w:p>
        </w:tc>
      </w:tr>
      <w:tr>
        <w:tblPrEx>
          <w:tblLayout w:type="fixed"/>
        </w:tblPrEx>
        <w:trPr>
          <w:trHeight w:val="488" w:hRule="atLeast"/>
        </w:trPr>
        <w:tc>
          <w:tcPr>
            <w:tcW w:w="2825"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科目编码</w:t>
            </w:r>
          </w:p>
        </w:tc>
        <w:tc>
          <w:tcPr>
            <w:tcW w:w="4920" w:type="dxa"/>
            <w:vMerge w:val="restart"/>
            <w:tcBorders>
              <w:top w:val="nil"/>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科目名称</w:t>
            </w:r>
          </w:p>
        </w:tc>
        <w:tc>
          <w:tcPr>
            <w:tcW w:w="1960" w:type="dxa"/>
            <w:vMerge w:val="restart"/>
            <w:tcBorders>
              <w:top w:val="nil"/>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合计</w:t>
            </w:r>
          </w:p>
        </w:tc>
        <w:tc>
          <w:tcPr>
            <w:tcW w:w="1960" w:type="dxa"/>
            <w:vMerge w:val="restart"/>
            <w:tcBorders>
              <w:top w:val="nil"/>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基本支出</w:t>
            </w:r>
          </w:p>
        </w:tc>
        <w:tc>
          <w:tcPr>
            <w:tcW w:w="1960" w:type="dxa"/>
            <w:vMerge w:val="restart"/>
            <w:tcBorders>
              <w:top w:val="nil"/>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项目支出</w:t>
            </w:r>
          </w:p>
        </w:tc>
      </w:tr>
      <w:tr>
        <w:tblPrEx>
          <w:tblLayout w:type="fixed"/>
        </w:tblPrEx>
        <w:trPr>
          <w:trHeight w:val="488" w:hRule="atLeast"/>
        </w:trPr>
        <w:tc>
          <w:tcPr>
            <w:tcW w:w="945" w:type="dxa"/>
            <w:tcBorders>
              <w:top w:val="nil"/>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类</w:t>
            </w:r>
          </w:p>
        </w:tc>
        <w:tc>
          <w:tcPr>
            <w:tcW w:w="94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款</w:t>
            </w:r>
          </w:p>
        </w:tc>
        <w:tc>
          <w:tcPr>
            <w:tcW w:w="94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项</w:t>
            </w:r>
          </w:p>
        </w:tc>
        <w:tc>
          <w:tcPr>
            <w:tcW w:w="4920" w:type="dxa"/>
            <w:vMerge w:val="continue"/>
            <w:tcBorders>
              <w:top w:val="nil"/>
              <w:left w:val="single" w:color="C2C3C4" w:sz="4" w:space="0"/>
              <w:bottom w:val="single" w:color="C2C3C4" w:sz="4" w:space="0"/>
              <w:right w:val="single" w:color="C2C3C4" w:sz="4" w:space="0"/>
            </w:tcBorders>
            <w:vAlign w:val="center"/>
          </w:tcPr>
          <w:p>
            <w:pPr>
              <w:widowControl/>
              <w:jc w:val="left"/>
              <w:rPr>
                <w:rFonts w:hint="default" w:ascii="Times New Roman" w:hAnsi="Times New Roman" w:cs="Times New Roman"/>
                <w:b/>
                <w:bCs/>
                <w:kern w:val="0"/>
                <w:sz w:val="22"/>
              </w:rPr>
            </w:pPr>
          </w:p>
        </w:tc>
        <w:tc>
          <w:tcPr>
            <w:tcW w:w="1960" w:type="dxa"/>
            <w:vMerge w:val="continue"/>
            <w:tcBorders>
              <w:top w:val="nil"/>
              <w:left w:val="single" w:color="C2C3C4" w:sz="4" w:space="0"/>
              <w:bottom w:val="single" w:color="C2C3C4" w:sz="4" w:space="0"/>
              <w:right w:val="single" w:color="C2C3C4" w:sz="4" w:space="0"/>
            </w:tcBorders>
            <w:vAlign w:val="center"/>
          </w:tcPr>
          <w:p>
            <w:pPr>
              <w:widowControl/>
              <w:jc w:val="left"/>
              <w:rPr>
                <w:rFonts w:hint="default" w:ascii="Times New Roman" w:hAnsi="Times New Roman" w:cs="Times New Roman"/>
                <w:b/>
                <w:bCs/>
                <w:kern w:val="0"/>
                <w:sz w:val="22"/>
              </w:rPr>
            </w:pPr>
          </w:p>
        </w:tc>
        <w:tc>
          <w:tcPr>
            <w:tcW w:w="1960" w:type="dxa"/>
            <w:vMerge w:val="continue"/>
            <w:tcBorders>
              <w:top w:val="nil"/>
              <w:left w:val="single" w:color="C2C3C4" w:sz="4" w:space="0"/>
              <w:bottom w:val="single" w:color="C2C3C4" w:sz="4" w:space="0"/>
              <w:right w:val="single" w:color="C2C3C4" w:sz="4" w:space="0"/>
            </w:tcBorders>
            <w:vAlign w:val="center"/>
          </w:tcPr>
          <w:p>
            <w:pPr>
              <w:widowControl/>
              <w:jc w:val="left"/>
              <w:rPr>
                <w:rFonts w:hint="default" w:ascii="Times New Roman" w:hAnsi="Times New Roman" w:cs="Times New Roman"/>
                <w:b/>
                <w:bCs/>
                <w:kern w:val="0"/>
                <w:sz w:val="22"/>
              </w:rPr>
            </w:pPr>
          </w:p>
        </w:tc>
        <w:tc>
          <w:tcPr>
            <w:tcW w:w="1960" w:type="dxa"/>
            <w:vMerge w:val="continue"/>
            <w:tcBorders>
              <w:top w:val="nil"/>
              <w:left w:val="single" w:color="C2C3C4" w:sz="4" w:space="0"/>
              <w:bottom w:val="single" w:color="C2C3C4" w:sz="4" w:space="0"/>
              <w:right w:val="single" w:color="C2C3C4" w:sz="4" w:space="0"/>
            </w:tcBorders>
            <w:vAlign w:val="center"/>
          </w:tcPr>
          <w:p>
            <w:pPr>
              <w:widowControl/>
              <w:jc w:val="left"/>
              <w:rPr>
                <w:rFonts w:hint="default" w:ascii="Times New Roman" w:hAnsi="Times New Roman" w:cs="Times New Roman"/>
                <w:b/>
                <w:bCs/>
                <w:kern w:val="0"/>
                <w:sz w:val="22"/>
              </w:rPr>
            </w:pPr>
          </w:p>
        </w:tc>
      </w:tr>
      <w:tr>
        <w:tblPrEx>
          <w:tblLayout w:type="fixed"/>
        </w:tblPrEx>
        <w:trPr>
          <w:trHeight w:val="458" w:hRule="atLeast"/>
        </w:trPr>
        <w:tc>
          <w:tcPr>
            <w:tcW w:w="7745" w:type="dxa"/>
            <w:gridSpan w:val="4"/>
            <w:tcBorders>
              <w:top w:val="single" w:color="C2C3C4" w:sz="4" w:space="0"/>
              <w:left w:val="single" w:color="C2C3C4" w:sz="4" w:space="0"/>
              <w:bottom w:val="single" w:color="C2C3C4" w:sz="4" w:space="0"/>
              <w:right w:val="single" w:color="C2C3C4" w:sz="4" w:space="0"/>
            </w:tcBorders>
            <w:shd w:val="clear" w:color="auto" w:fill="auto"/>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合    计</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547.26</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111.84</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435.42</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208</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社会保障和就业支出</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32.41</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32.41</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05</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行政事业单位养老支出</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28.14</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28.14</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01</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行政单位离退休</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15.29</w:t>
            </w:r>
          </w:p>
        </w:tc>
        <w:tc>
          <w:tcPr>
            <w:tcW w:w="196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15.29</w:t>
            </w:r>
          </w:p>
        </w:tc>
        <w:tc>
          <w:tcPr>
            <w:tcW w:w="1960" w:type="dxa"/>
            <w:tcBorders>
              <w:top w:val="single" w:color="C0C0C0" w:sz="4" w:space="0"/>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05</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机关事业单位基本养老保险缴费支出</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4.85</w:t>
            </w:r>
          </w:p>
        </w:tc>
        <w:tc>
          <w:tcPr>
            <w:tcW w:w="1960" w:type="dxa"/>
            <w:tcBorders>
              <w:top w:val="nil"/>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4.85</w:t>
            </w:r>
          </w:p>
        </w:tc>
        <w:tc>
          <w:tcPr>
            <w:tcW w:w="19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06</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机关事业单位职业年金缴费支出</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8.00</w:t>
            </w:r>
          </w:p>
        </w:tc>
        <w:tc>
          <w:tcPr>
            <w:tcW w:w="1960" w:type="dxa"/>
            <w:tcBorders>
              <w:top w:val="nil"/>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8.00</w:t>
            </w:r>
          </w:p>
        </w:tc>
        <w:tc>
          <w:tcPr>
            <w:tcW w:w="19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08</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抚恤</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4.27</w:t>
            </w:r>
          </w:p>
        </w:tc>
        <w:tc>
          <w:tcPr>
            <w:tcW w:w="19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4.27</w:t>
            </w:r>
          </w:p>
        </w:tc>
        <w:tc>
          <w:tcPr>
            <w:tcW w:w="19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99</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其他优抚支出</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4.27</w:t>
            </w:r>
          </w:p>
        </w:tc>
        <w:tc>
          <w:tcPr>
            <w:tcW w:w="196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4.27</w:t>
            </w:r>
          </w:p>
        </w:tc>
        <w:tc>
          <w:tcPr>
            <w:tcW w:w="1960" w:type="dxa"/>
            <w:tcBorders>
              <w:top w:val="single" w:color="C0C0C0" w:sz="4" w:space="0"/>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210</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卫生健康支出</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14.04</w:t>
            </w:r>
          </w:p>
        </w:tc>
        <w:tc>
          <w:tcPr>
            <w:tcW w:w="19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14.04</w:t>
            </w:r>
          </w:p>
        </w:tc>
        <w:tc>
          <w:tcPr>
            <w:tcW w:w="19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11</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行政事业单位医疗</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14.04</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14.04</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01</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行政单位医疗</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2.58</w:t>
            </w:r>
          </w:p>
        </w:tc>
        <w:tc>
          <w:tcPr>
            <w:tcW w:w="196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2.58</w:t>
            </w:r>
          </w:p>
        </w:tc>
        <w:tc>
          <w:tcPr>
            <w:tcW w:w="1960" w:type="dxa"/>
            <w:tcBorders>
              <w:top w:val="single" w:color="C0C0C0" w:sz="4" w:space="0"/>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03</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公务员医疗补助</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11.47</w:t>
            </w:r>
          </w:p>
        </w:tc>
        <w:tc>
          <w:tcPr>
            <w:tcW w:w="1960" w:type="dxa"/>
            <w:tcBorders>
              <w:top w:val="nil"/>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11.47</w:t>
            </w:r>
          </w:p>
        </w:tc>
        <w:tc>
          <w:tcPr>
            <w:tcW w:w="19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213</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农林水支出</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496.64</w:t>
            </w:r>
          </w:p>
        </w:tc>
        <w:tc>
          <w:tcPr>
            <w:tcW w:w="19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61.22</w:t>
            </w:r>
          </w:p>
        </w:tc>
        <w:tc>
          <w:tcPr>
            <w:tcW w:w="19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435.42</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01</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农业农村</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496.64</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61.22</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435.42</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01</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行政运行</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74.22</w:t>
            </w:r>
          </w:p>
        </w:tc>
        <w:tc>
          <w:tcPr>
            <w:tcW w:w="196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61.22</w:t>
            </w:r>
          </w:p>
        </w:tc>
        <w:tc>
          <w:tcPr>
            <w:tcW w:w="1960" w:type="dxa"/>
            <w:tcBorders>
              <w:top w:val="single" w:color="C0C0C0" w:sz="4" w:space="0"/>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13.00</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02</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一般行政管理事务</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12.00</w:t>
            </w:r>
          </w:p>
        </w:tc>
        <w:tc>
          <w:tcPr>
            <w:tcW w:w="1960" w:type="dxa"/>
            <w:tcBorders>
              <w:top w:val="nil"/>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12.00</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06</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科技转化与推广服务</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65.00</w:t>
            </w:r>
          </w:p>
        </w:tc>
        <w:tc>
          <w:tcPr>
            <w:tcW w:w="1960" w:type="dxa"/>
            <w:tcBorders>
              <w:top w:val="nil"/>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65.00</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22</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农业生产发展</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340.42</w:t>
            </w:r>
          </w:p>
        </w:tc>
        <w:tc>
          <w:tcPr>
            <w:tcW w:w="1960" w:type="dxa"/>
            <w:tcBorders>
              <w:top w:val="nil"/>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340.42</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99</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其他农业农村支出</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5.00</w:t>
            </w:r>
          </w:p>
        </w:tc>
        <w:tc>
          <w:tcPr>
            <w:tcW w:w="1960" w:type="dxa"/>
            <w:tcBorders>
              <w:top w:val="nil"/>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5.00</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221</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住房保障支出</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4.16</w:t>
            </w:r>
          </w:p>
        </w:tc>
        <w:tc>
          <w:tcPr>
            <w:tcW w:w="19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4.16</w:t>
            </w:r>
          </w:p>
        </w:tc>
        <w:tc>
          <w:tcPr>
            <w:tcW w:w="19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02</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住房改革支出</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4.16</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4.16</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01</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住房公积金</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4.16</w:t>
            </w:r>
          </w:p>
        </w:tc>
        <w:tc>
          <w:tcPr>
            <w:tcW w:w="196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4.16</w:t>
            </w:r>
          </w:p>
        </w:tc>
        <w:tc>
          <w:tcPr>
            <w:tcW w:w="1960" w:type="dxa"/>
            <w:tcBorders>
              <w:top w:val="single" w:color="C0C0C0" w:sz="4" w:space="0"/>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13625" w:type="dxa"/>
            <w:gridSpan w:val="7"/>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rPr>
                <w:rFonts w:hint="default" w:ascii="Times New Roman" w:hAnsi="Times New Roman" w:eastAsia="黑体" w:cs="Times New Roman"/>
                <w:b/>
                <w:bCs/>
                <w:kern w:val="0"/>
                <w:sz w:val="32"/>
                <w:szCs w:val="32"/>
              </w:rPr>
            </w:pPr>
          </w:p>
          <w:p>
            <w:pPr>
              <w:widowControl/>
              <w:jc w:val="center"/>
              <w:rPr>
                <w:rFonts w:hint="default" w:ascii="Times New Roman" w:hAnsi="Times New Roman" w:eastAsia="黑体" w:cs="Times New Roman"/>
                <w:b/>
                <w:bCs/>
                <w:kern w:val="0"/>
                <w:sz w:val="32"/>
                <w:szCs w:val="32"/>
              </w:rPr>
            </w:pPr>
            <w:r>
              <w:rPr>
                <w:rFonts w:hint="default" w:ascii="Times New Roman" w:hAnsi="Times New Roman" w:eastAsia="黑体" w:cs="Times New Roman"/>
                <w:b/>
                <w:bCs/>
                <w:kern w:val="0"/>
                <w:sz w:val="32"/>
                <w:szCs w:val="32"/>
              </w:rPr>
              <w:t>一般公共预算基本支出表</w:t>
            </w:r>
          </w:p>
        </w:tc>
      </w:tr>
      <w:tr>
        <w:tblPrEx>
          <w:tblLayout w:type="fixed"/>
        </w:tblPrEx>
        <w:trPr>
          <w:trHeight w:val="390" w:hRule="atLeast"/>
        </w:trPr>
        <w:tc>
          <w:tcPr>
            <w:tcW w:w="945" w:type="dxa"/>
            <w:tcBorders>
              <w:top w:val="nil"/>
              <w:left w:val="single" w:color="FFFFFF" w:sz="4" w:space="0"/>
              <w:bottom w:val="nil"/>
              <w:right w:val="single" w:color="FFFFFF"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96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96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960" w:type="dxa"/>
            <w:tcBorders>
              <w:top w:val="nil"/>
              <w:left w:val="nil"/>
              <w:bottom w:val="nil"/>
              <w:right w:val="single" w:color="FFFFFF"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金额单位：万元</w:t>
            </w:r>
          </w:p>
        </w:tc>
      </w:tr>
      <w:tr>
        <w:tblPrEx>
          <w:tblLayout w:type="fixed"/>
        </w:tblPrEx>
        <w:trPr>
          <w:trHeight w:val="488" w:hRule="atLeast"/>
        </w:trPr>
        <w:tc>
          <w:tcPr>
            <w:tcW w:w="7745" w:type="dxa"/>
            <w:gridSpan w:val="4"/>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支出经济分类科目</w:t>
            </w:r>
          </w:p>
        </w:tc>
        <w:tc>
          <w:tcPr>
            <w:tcW w:w="5880" w:type="dxa"/>
            <w:gridSpan w:val="3"/>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2022年基本支出</w:t>
            </w:r>
          </w:p>
        </w:tc>
      </w:tr>
      <w:tr>
        <w:tblPrEx>
          <w:tblLayout w:type="fixed"/>
        </w:tblPrEx>
        <w:trPr>
          <w:trHeight w:val="488" w:hRule="atLeast"/>
        </w:trPr>
        <w:tc>
          <w:tcPr>
            <w:tcW w:w="2825"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科目编码</w:t>
            </w:r>
          </w:p>
        </w:tc>
        <w:tc>
          <w:tcPr>
            <w:tcW w:w="4920" w:type="dxa"/>
            <w:vMerge w:val="restart"/>
            <w:tcBorders>
              <w:top w:val="nil"/>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科目名称</w:t>
            </w:r>
          </w:p>
        </w:tc>
        <w:tc>
          <w:tcPr>
            <w:tcW w:w="1960" w:type="dxa"/>
            <w:vMerge w:val="restart"/>
            <w:tcBorders>
              <w:top w:val="nil"/>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合计</w:t>
            </w:r>
          </w:p>
        </w:tc>
        <w:tc>
          <w:tcPr>
            <w:tcW w:w="1960" w:type="dxa"/>
            <w:vMerge w:val="restart"/>
            <w:tcBorders>
              <w:top w:val="nil"/>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人员经费</w:t>
            </w:r>
          </w:p>
        </w:tc>
        <w:tc>
          <w:tcPr>
            <w:tcW w:w="1960" w:type="dxa"/>
            <w:vMerge w:val="restart"/>
            <w:tcBorders>
              <w:top w:val="nil"/>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公用经费</w:t>
            </w:r>
          </w:p>
        </w:tc>
      </w:tr>
      <w:tr>
        <w:tblPrEx>
          <w:tblLayout w:type="fixed"/>
        </w:tblPrEx>
        <w:trPr>
          <w:trHeight w:val="488" w:hRule="atLeast"/>
        </w:trPr>
        <w:tc>
          <w:tcPr>
            <w:tcW w:w="945" w:type="dxa"/>
            <w:tcBorders>
              <w:top w:val="nil"/>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类</w:t>
            </w:r>
          </w:p>
        </w:tc>
        <w:tc>
          <w:tcPr>
            <w:tcW w:w="94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款</w:t>
            </w:r>
          </w:p>
        </w:tc>
        <w:tc>
          <w:tcPr>
            <w:tcW w:w="94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项</w:t>
            </w:r>
          </w:p>
        </w:tc>
        <w:tc>
          <w:tcPr>
            <w:tcW w:w="4920" w:type="dxa"/>
            <w:vMerge w:val="continue"/>
            <w:tcBorders>
              <w:top w:val="nil"/>
              <w:left w:val="single" w:color="C2C3C4" w:sz="4" w:space="0"/>
              <w:bottom w:val="single" w:color="C2C3C4" w:sz="4" w:space="0"/>
              <w:right w:val="single" w:color="C2C3C4" w:sz="4" w:space="0"/>
            </w:tcBorders>
            <w:vAlign w:val="center"/>
          </w:tcPr>
          <w:p>
            <w:pPr>
              <w:widowControl/>
              <w:jc w:val="left"/>
              <w:rPr>
                <w:rFonts w:hint="default" w:ascii="Times New Roman" w:hAnsi="Times New Roman" w:cs="Times New Roman"/>
                <w:b/>
                <w:bCs/>
                <w:kern w:val="0"/>
                <w:sz w:val="22"/>
              </w:rPr>
            </w:pPr>
          </w:p>
        </w:tc>
        <w:tc>
          <w:tcPr>
            <w:tcW w:w="1960" w:type="dxa"/>
            <w:vMerge w:val="continue"/>
            <w:tcBorders>
              <w:top w:val="nil"/>
              <w:left w:val="single" w:color="C2C3C4" w:sz="4" w:space="0"/>
              <w:bottom w:val="single" w:color="C2C3C4" w:sz="4" w:space="0"/>
              <w:right w:val="single" w:color="C2C3C4" w:sz="4" w:space="0"/>
            </w:tcBorders>
            <w:vAlign w:val="center"/>
          </w:tcPr>
          <w:p>
            <w:pPr>
              <w:widowControl/>
              <w:jc w:val="left"/>
              <w:rPr>
                <w:rFonts w:hint="default" w:ascii="Times New Roman" w:hAnsi="Times New Roman" w:cs="Times New Roman"/>
                <w:b/>
                <w:bCs/>
                <w:kern w:val="0"/>
                <w:sz w:val="22"/>
              </w:rPr>
            </w:pPr>
          </w:p>
        </w:tc>
        <w:tc>
          <w:tcPr>
            <w:tcW w:w="1960" w:type="dxa"/>
            <w:vMerge w:val="continue"/>
            <w:tcBorders>
              <w:top w:val="nil"/>
              <w:left w:val="single" w:color="C2C3C4" w:sz="4" w:space="0"/>
              <w:bottom w:val="single" w:color="C2C3C4" w:sz="4" w:space="0"/>
              <w:right w:val="single" w:color="C2C3C4" w:sz="4" w:space="0"/>
            </w:tcBorders>
            <w:vAlign w:val="center"/>
          </w:tcPr>
          <w:p>
            <w:pPr>
              <w:widowControl/>
              <w:jc w:val="left"/>
              <w:rPr>
                <w:rFonts w:hint="default" w:ascii="Times New Roman" w:hAnsi="Times New Roman" w:cs="Times New Roman"/>
                <w:b/>
                <w:bCs/>
                <w:kern w:val="0"/>
                <w:sz w:val="22"/>
              </w:rPr>
            </w:pPr>
          </w:p>
        </w:tc>
        <w:tc>
          <w:tcPr>
            <w:tcW w:w="1960" w:type="dxa"/>
            <w:vMerge w:val="continue"/>
            <w:tcBorders>
              <w:top w:val="nil"/>
              <w:left w:val="single" w:color="C2C3C4" w:sz="4" w:space="0"/>
              <w:bottom w:val="single" w:color="C2C3C4" w:sz="4" w:space="0"/>
              <w:right w:val="single" w:color="C2C3C4" w:sz="4" w:space="0"/>
            </w:tcBorders>
            <w:vAlign w:val="center"/>
          </w:tcPr>
          <w:p>
            <w:pPr>
              <w:widowControl/>
              <w:jc w:val="left"/>
              <w:rPr>
                <w:rFonts w:hint="default" w:ascii="Times New Roman" w:hAnsi="Times New Roman" w:cs="Times New Roman"/>
                <w:b/>
                <w:bCs/>
                <w:kern w:val="0"/>
                <w:sz w:val="22"/>
              </w:rPr>
            </w:pPr>
          </w:p>
        </w:tc>
      </w:tr>
      <w:tr>
        <w:tblPrEx>
          <w:tblLayout w:type="fixed"/>
        </w:tblPrEx>
        <w:trPr>
          <w:trHeight w:val="458" w:hRule="atLeast"/>
        </w:trPr>
        <w:tc>
          <w:tcPr>
            <w:tcW w:w="7745" w:type="dxa"/>
            <w:gridSpan w:val="4"/>
            <w:tcBorders>
              <w:top w:val="single" w:color="C2C3C4" w:sz="4" w:space="0"/>
              <w:left w:val="single" w:color="C2C3C4" w:sz="4" w:space="0"/>
              <w:bottom w:val="single" w:color="C2C3C4" w:sz="4" w:space="0"/>
              <w:right w:val="single" w:color="C2C3C4" w:sz="4" w:space="0"/>
            </w:tcBorders>
            <w:shd w:val="clear" w:color="auto" w:fill="auto"/>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合    计</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111.84</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105.50</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6.34</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301</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工资福利支出</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83.23</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82.43</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0.80</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01</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基本工资</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12.01</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12.01</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02</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津贴补贴</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20.15</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20.15</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03</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奖金</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17.34</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17.34</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08</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机关事业单位基本养老保险缴费</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4.85</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4.85</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09</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职业年金缴费</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8.00</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8.00</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10</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职工基本医疗保险缴费</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2.58</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2.58</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11</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公务员医疗补助缴费</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11.47</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11.47</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12</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其他社会保障缴费</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1.01</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0.21</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0.80</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13</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住房公积金</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4.16</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4.16</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14</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医疗费</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1.66</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1.66</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302</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商品和服务支出</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9.04</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3.50</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5.54</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01</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办公费</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1.02</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1.02</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07</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邮电费</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0.38</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0.38</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11</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差旅费</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16</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培训费</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0.14</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0.14</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26</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劳务费</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28</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工会经费</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0.69</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0.69</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29</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福利费</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0.04</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0.04</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31</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公务用车运行维护费</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1.65</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1.65</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39</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其他交通费用</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3.12</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3.12</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99</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其他商品和服务支出</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2.00</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2.00</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303</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对个人和家庭的补助</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19.56</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19.56</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01</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离休费</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15.29</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15.29</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05</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生活补助</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4.27</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4.27</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10</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个人农业生产补贴</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312</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对企业补助</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945"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04</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492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费用补贴</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9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bl>
    <w:p>
      <w:pPr>
        <w:rPr>
          <w:rFonts w:hint="default" w:ascii="Times New Roman" w:hAnsi="Times New Roman" w:eastAsia="黑体" w:cs="Times New Roman"/>
          <w:sz w:val="32"/>
          <w:szCs w:val="32"/>
        </w:rPr>
      </w:pPr>
    </w:p>
    <w:tbl>
      <w:tblPr>
        <w:tblStyle w:val="5"/>
        <w:tblW w:w="12800" w:type="dxa"/>
        <w:tblInd w:w="275" w:type="dxa"/>
        <w:tblLayout w:type="fixed"/>
        <w:tblCellMar>
          <w:top w:w="15" w:type="dxa"/>
          <w:left w:w="15" w:type="dxa"/>
          <w:bottom w:w="15" w:type="dxa"/>
          <w:right w:w="15" w:type="dxa"/>
        </w:tblCellMar>
      </w:tblPr>
      <w:tblGrid>
        <w:gridCol w:w="712"/>
        <w:gridCol w:w="969"/>
        <w:gridCol w:w="679"/>
        <w:gridCol w:w="1099"/>
        <w:gridCol w:w="977"/>
        <w:gridCol w:w="2056"/>
        <w:gridCol w:w="816"/>
        <w:gridCol w:w="1322"/>
        <w:gridCol w:w="652"/>
        <w:gridCol w:w="998"/>
        <w:gridCol w:w="990"/>
        <w:gridCol w:w="1530"/>
      </w:tblGrid>
      <w:tr>
        <w:tblPrEx>
          <w:tblLayout w:type="fixed"/>
        </w:tblPrEx>
        <w:trPr>
          <w:trHeight w:val="806" w:hRule="atLeast"/>
        </w:trPr>
        <w:tc>
          <w:tcPr>
            <w:tcW w:w="12800"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hint="default" w:ascii="Times New Roman" w:hAnsi="Times New Roman" w:eastAsia="黑体" w:cs="Times New Roman"/>
                <w:b/>
                <w:color w:val="000000"/>
                <w:kern w:val="0"/>
                <w:sz w:val="32"/>
                <w:szCs w:val="32"/>
              </w:rPr>
            </w:pPr>
            <w:r>
              <w:rPr>
                <w:rFonts w:hint="default" w:ascii="Times New Roman" w:hAnsi="Times New Roman" w:eastAsia="黑体" w:cs="Times New Roman"/>
                <w:b/>
                <w:color w:val="000000"/>
                <w:kern w:val="0"/>
                <w:sz w:val="32"/>
                <w:szCs w:val="32"/>
              </w:rPr>
              <w:t>一般公共预算“三公”经费支出表</w:t>
            </w:r>
          </w:p>
          <w:p>
            <w:pPr>
              <w:widowControl/>
              <w:jc w:val="right"/>
              <w:textAlignment w:val="center"/>
              <w:rPr>
                <w:rFonts w:hint="default" w:ascii="Times New Roman" w:hAnsi="Times New Roman" w:eastAsia="黑体" w:cs="Times New Roman"/>
                <w:b/>
                <w:color w:val="000000"/>
                <w:kern w:val="0"/>
                <w:sz w:val="32"/>
                <w:szCs w:val="32"/>
              </w:rPr>
            </w:pPr>
            <w:r>
              <w:rPr>
                <w:rFonts w:hint="default" w:ascii="Times New Roman" w:hAnsi="Times New Roman" w:eastAsia="仿宋_GB2312" w:cs="Times New Roman"/>
                <w:bCs/>
                <w:color w:val="000000"/>
                <w:kern w:val="0"/>
                <w:sz w:val="22"/>
              </w:rPr>
              <w:t>单位：万元</w:t>
            </w:r>
          </w:p>
        </w:tc>
      </w:tr>
      <w:tr>
        <w:tblPrEx>
          <w:tblLayout w:type="fixed"/>
        </w:tblPrEx>
        <w:trPr>
          <w:trHeight w:val="641" w:hRule="atLeast"/>
        </w:trPr>
        <w:tc>
          <w:tcPr>
            <w:tcW w:w="6492" w:type="dxa"/>
            <w:gridSpan w:val="6"/>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2020年预算数</w:t>
            </w:r>
          </w:p>
        </w:tc>
        <w:tc>
          <w:tcPr>
            <w:tcW w:w="6308" w:type="dxa"/>
            <w:gridSpan w:val="6"/>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2021年预算数</w:t>
            </w:r>
          </w:p>
        </w:tc>
      </w:tr>
      <w:tr>
        <w:tblPrEx>
          <w:tblLayout w:type="fixed"/>
        </w:tblPrEx>
        <w:trPr>
          <w:trHeight w:val="641" w:hRule="atLeast"/>
        </w:trPr>
        <w:tc>
          <w:tcPr>
            <w:tcW w:w="71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合计</w:t>
            </w:r>
          </w:p>
        </w:tc>
        <w:tc>
          <w:tcPr>
            <w:tcW w:w="96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因公出国</w:t>
            </w:r>
            <w:r>
              <w:rPr>
                <w:rFonts w:hint="default" w:ascii="Times New Roman" w:hAnsi="Times New Roman" w:cs="Times New Roman"/>
                <w:b/>
                <w:color w:val="000000"/>
                <w:kern w:val="0"/>
                <w:sz w:val="22"/>
              </w:rPr>
              <w:br w:type="textWrapping"/>
            </w:r>
            <w:r>
              <w:rPr>
                <w:rFonts w:hint="default" w:ascii="Times New Roman" w:hAnsi="Times New Roman" w:cs="Times New Roman"/>
                <w:b/>
                <w:color w:val="000000"/>
                <w:kern w:val="0"/>
                <w:sz w:val="22"/>
              </w:rPr>
              <w:t>（境）费用</w:t>
            </w:r>
          </w:p>
        </w:tc>
        <w:tc>
          <w:tcPr>
            <w:tcW w:w="2755"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公务用车购置及运行费</w:t>
            </w:r>
          </w:p>
        </w:tc>
        <w:tc>
          <w:tcPr>
            <w:tcW w:w="205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公务接待费</w:t>
            </w:r>
          </w:p>
        </w:tc>
        <w:tc>
          <w:tcPr>
            <w:tcW w:w="81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合计</w:t>
            </w:r>
          </w:p>
        </w:tc>
        <w:tc>
          <w:tcPr>
            <w:tcW w:w="132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因公出国</w:t>
            </w:r>
            <w:r>
              <w:rPr>
                <w:rFonts w:hint="default" w:ascii="Times New Roman" w:hAnsi="Times New Roman" w:cs="Times New Roman"/>
                <w:b/>
                <w:color w:val="000000"/>
                <w:kern w:val="0"/>
                <w:sz w:val="22"/>
              </w:rPr>
              <w:br w:type="textWrapping"/>
            </w:r>
            <w:r>
              <w:rPr>
                <w:rFonts w:hint="default" w:ascii="Times New Roman" w:hAnsi="Times New Roman" w:cs="Times New Roman"/>
                <w:b/>
                <w:color w:val="000000"/>
                <w:kern w:val="0"/>
                <w:sz w:val="22"/>
              </w:rPr>
              <w:t>（境）费用</w:t>
            </w:r>
          </w:p>
        </w:tc>
        <w:tc>
          <w:tcPr>
            <w:tcW w:w="2640"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公务用车购置及运行费</w:t>
            </w:r>
          </w:p>
        </w:tc>
        <w:tc>
          <w:tcPr>
            <w:tcW w:w="153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公务接待费</w:t>
            </w:r>
          </w:p>
        </w:tc>
      </w:tr>
      <w:tr>
        <w:tblPrEx>
          <w:tblLayout w:type="fixed"/>
        </w:tblPrEx>
        <w:trPr>
          <w:trHeight w:val="1164" w:hRule="atLeast"/>
        </w:trPr>
        <w:tc>
          <w:tcPr>
            <w:tcW w:w="71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default" w:ascii="Times New Roman" w:hAnsi="Times New Roman" w:cs="Times New Roman"/>
                <w:b/>
                <w:color w:val="000000"/>
                <w:sz w:val="22"/>
              </w:rPr>
            </w:pPr>
          </w:p>
        </w:tc>
        <w:tc>
          <w:tcPr>
            <w:tcW w:w="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default" w:ascii="Times New Roman" w:hAnsi="Times New Roman" w:cs="Times New Roman"/>
                <w:b/>
                <w:color w:val="000000"/>
                <w:sz w:val="22"/>
              </w:rPr>
            </w:pPr>
          </w:p>
        </w:tc>
        <w:tc>
          <w:tcPr>
            <w:tcW w:w="679"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小计</w:t>
            </w:r>
          </w:p>
        </w:tc>
        <w:tc>
          <w:tcPr>
            <w:tcW w:w="1099"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公务用车</w:t>
            </w:r>
            <w:r>
              <w:rPr>
                <w:rFonts w:hint="default" w:ascii="Times New Roman" w:hAnsi="Times New Roman" w:cs="Times New Roman"/>
                <w:b/>
                <w:color w:val="000000"/>
                <w:kern w:val="0"/>
                <w:sz w:val="22"/>
              </w:rPr>
              <w:br w:type="textWrapping"/>
            </w:r>
            <w:r>
              <w:rPr>
                <w:rFonts w:hint="default" w:ascii="Times New Roman" w:hAnsi="Times New Roman" w:cs="Times New Roman"/>
                <w:b/>
                <w:color w:val="000000"/>
                <w:kern w:val="0"/>
                <w:sz w:val="22"/>
              </w:rPr>
              <w:t>购置费</w:t>
            </w:r>
          </w:p>
        </w:tc>
        <w:tc>
          <w:tcPr>
            <w:tcW w:w="977"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公务用车</w:t>
            </w:r>
            <w:r>
              <w:rPr>
                <w:rFonts w:hint="default" w:ascii="Times New Roman" w:hAnsi="Times New Roman" w:cs="Times New Roman"/>
                <w:b/>
                <w:color w:val="000000"/>
                <w:kern w:val="0"/>
                <w:sz w:val="22"/>
              </w:rPr>
              <w:br w:type="textWrapping"/>
            </w:r>
            <w:r>
              <w:rPr>
                <w:rFonts w:hint="default" w:ascii="Times New Roman" w:hAnsi="Times New Roman" w:cs="Times New Roman"/>
                <w:b/>
                <w:color w:val="000000"/>
                <w:kern w:val="0"/>
                <w:sz w:val="22"/>
              </w:rPr>
              <w:t>运行费</w:t>
            </w:r>
          </w:p>
        </w:tc>
        <w:tc>
          <w:tcPr>
            <w:tcW w:w="205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default" w:ascii="Times New Roman" w:hAnsi="Times New Roman" w:cs="Times New Roman"/>
                <w:b/>
                <w:color w:val="000000"/>
                <w:sz w:val="22"/>
              </w:rPr>
            </w:pPr>
          </w:p>
        </w:tc>
        <w:tc>
          <w:tcPr>
            <w:tcW w:w="81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default" w:ascii="Times New Roman" w:hAnsi="Times New Roman" w:cs="Times New Roman"/>
                <w:b/>
                <w:color w:val="000000"/>
                <w:sz w:val="22"/>
              </w:rPr>
            </w:pPr>
          </w:p>
        </w:tc>
        <w:tc>
          <w:tcPr>
            <w:tcW w:w="132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default" w:ascii="Times New Roman" w:hAnsi="Times New Roman" w:cs="Times New Roman"/>
                <w:b/>
                <w:color w:val="000000"/>
                <w:sz w:val="22"/>
              </w:rPr>
            </w:pPr>
          </w:p>
        </w:tc>
        <w:tc>
          <w:tcPr>
            <w:tcW w:w="65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小计</w:t>
            </w:r>
          </w:p>
        </w:tc>
        <w:tc>
          <w:tcPr>
            <w:tcW w:w="998"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公务用车</w:t>
            </w:r>
            <w:r>
              <w:rPr>
                <w:rFonts w:hint="default" w:ascii="Times New Roman" w:hAnsi="Times New Roman" w:cs="Times New Roman"/>
                <w:b/>
                <w:color w:val="000000"/>
                <w:kern w:val="0"/>
                <w:sz w:val="22"/>
              </w:rPr>
              <w:br w:type="textWrapping"/>
            </w:r>
            <w:r>
              <w:rPr>
                <w:rFonts w:hint="default" w:ascii="Times New Roman" w:hAnsi="Times New Roman" w:cs="Times New Roman"/>
                <w:b/>
                <w:color w:val="000000"/>
                <w:kern w:val="0"/>
                <w:sz w:val="22"/>
              </w:rPr>
              <w:t>购置费</w:t>
            </w:r>
          </w:p>
        </w:tc>
        <w:tc>
          <w:tcPr>
            <w:tcW w:w="99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hint="default" w:ascii="Times New Roman" w:hAnsi="Times New Roman" w:cs="Times New Roman"/>
                <w:b/>
                <w:color w:val="000000"/>
                <w:sz w:val="22"/>
              </w:rPr>
            </w:pPr>
            <w:r>
              <w:rPr>
                <w:rFonts w:hint="default" w:ascii="Times New Roman" w:hAnsi="Times New Roman" w:cs="Times New Roman"/>
                <w:b/>
                <w:color w:val="000000"/>
                <w:kern w:val="0"/>
                <w:sz w:val="22"/>
              </w:rPr>
              <w:t>公务用车</w:t>
            </w:r>
            <w:r>
              <w:rPr>
                <w:rFonts w:hint="default" w:ascii="Times New Roman" w:hAnsi="Times New Roman" w:cs="Times New Roman"/>
                <w:b/>
                <w:color w:val="000000"/>
                <w:kern w:val="0"/>
                <w:sz w:val="22"/>
              </w:rPr>
              <w:br w:type="textWrapping"/>
            </w:r>
            <w:r>
              <w:rPr>
                <w:rFonts w:hint="default" w:ascii="Times New Roman" w:hAnsi="Times New Roman" w:cs="Times New Roman"/>
                <w:b/>
                <w:color w:val="000000"/>
                <w:kern w:val="0"/>
                <w:sz w:val="22"/>
              </w:rPr>
              <w:t>运行费</w:t>
            </w:r>
          </w:p>
        </w:tc>
        <w:tc>
          <w:tcPr>
            <w:tcW w:w="153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default" w:ascii="Times New Roman" w:hAnsi="Times New Roman" w:cs="Times New Roman"/>
                <w:b/>
                <w:color w:val="000000"/>
                <w:sz w:val="22"/>
              </w:rPr>
            </w:pPr>
          </w:p>
        </w:tc>
      </w:tr>
      <w:tr>
        <w:tblPrEx>
          <w:tblLayout w:type="fixed"/>
        </w:tblPrEx>
        <w:trPr>
          <w:trHeight w:val="629"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96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67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109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977"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hint="default" w:ascii="Times New Roman" w:hAnsi="Times New Roman" w:cs="Times New Roman"/>
                <w:color w:val="000000"/>
                <w:sz w:val="22"/>
              </w:rPr>
            </w:pPr>
          </w:p>
        </w:tc>
        <w:tc>
          <w:tcPr>
            <w:tcW w:w="2056"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816"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center"/>
              <w:textAlignment w:val="center"/>
              <w:rPr>
                <w:rFonts w:hint="default" w:ascii="Times New Roman" w:hAnsi="Times New Roman" w:cs="Times New Roman"/>
                <w:color w:val="000000"/>
                <w:sz w:val="22"/>
              </w:rPr>
            </w:pPr>
            <w:r>
              <w:rPr>
                <w:rFonts w:hint="default" w:ascii="Times New Roman" w:hAnsi="Times New Roman" w:cs="Times New Roman"/>
                <w:color w:val="000000"/>
                <w:kern w:val="0"/>
                <w:sz w:val="22"/>
              </w:rPr>
              <w:t>1.65</w:t>
            </w:r>
          </w:p>
        </w:tc>
        <w:tc>
          <w:tcPr>
            <w:tcW w:w="132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652"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center"/>
              <w:textAlignment w:val="center"/>
              <w:rPr>
                <w:rFonts w:hint="default" w:ascii="Times New Roman" w:hAnsi="Times New Roman" w:cs="Times New Roman"/>
                <w:color w:val="000000"/>
                <w:sz w:val="22"/>
              </w:rPr>
            </w:pPr>
            <w:r>
              <w:rPr>
                <w:rFonts w:hint="default" w:ascii="Times New Roman" w:hAnsi="Times New Roman" w:cs="Times New Roman"/>
                <w:color w:val="000000"/>
                <w:kern w:val="0"/>
                <w:sz w:val="22"/>
              </w:rPr>
              <w:t>1.65</w:t>
            </w:r>
          </w:p>
        </w:tc>
        <w:tc>
          <w:tcPr>
            <w:tcW w:w="99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c>
          <w:tcPr>
            <w:tcW w:w="99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center"/>
              <w:textAlignment w:val="center"/>
              <w:rPr>
                <w:rFonts w:hint="default" w:ascii="Times New Roman" w:hAnsi="Times New Roman" w:cs="Times New Roman"/>
                <w:color w:val="000000"/>
                <w:sz w:val="22"/>
              </w:rPr>
            </w:pPr>
            <w:r>
              <w:rPr>
                <w:rFonts w:hint="default" w:ascii="Times New Roman" w:hAnsi="Times New Roman" w:cs="Times New Roman"/>
                <w:color w:val="000000"/>
                <w:kern w:val="0"/>
                <w:sz w:val="22"/>
              </w:rPr>
              <w:t>1.65</w:t>
            </w:r>
          </w:p>
        </w:tc>
        <w:tc>
          <w:tcPr>
            <w:tcW w:w="153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default" w:ascii="Times New Roman" w:hAnsi="Times New Roman" w:cs="Times New Roman"/>
                <w:color w:val="000000"/>
                <w:sz w:val="22"/>
              </w:rPr>
            </w:pPr>
          </w:p>
        </w:tc>
      </w:tr>
    </w:tbl>
    <w:p>
      <w:pPr>
        <w:rPr>
          <w:rFonts w:hint="default" w:ascii="Times New Roman" w:hAnsi="Times New Roman" w:eastAsia="黑体" w:cs="Times New Roman"/>
          <w:sz w:val="32"/>
          <w:szCs w:val="32"/>
        </w:rPr>
      </w:pPr>
    </w:p>
    <w:tbl>
      <w:tblPr>
        <w:tblStyle w:val="5"/>
        <w:tblW w:w="11920" w:type="dxa"/>
        <w:tblInd w:w="93" w:type="dxa"/>
        <w:tblLayout w:type="fixed"/>
        <w:tblCellMar>
          <w:top w:w="0" w:type="dxa"/>
          <w:left w:w="108" w:type="dxa"/>
          <w:bottom w:w="0" w:type="dxa"/>
          <w:right w:w="108" w:type="dxa"/>
        </w:tblCellMar>
      </w:tblPr>
      <w:tblGrid>
        <w:gridCol w:w="4205"/>
        <w:gridCol w:w="941"/>
        <w:gridCol w:w="4651"/>
        <w:gridCol w:w="2123"/>
      </w:tblGrid>
      <w:tr>
        <w:tblPrEx>
          <w:tblLayout w:type="fixed"/>
        </w:tblPrEx>
        <w:trPr>
          <w:trHeight w:val="458" w:hRule="atLeast"/>
        </w:trPr>
        <w:tc>
          <w:tcPr>
            <w:tcW w:w="11920" w:type="dxa"/>
            <w:gridSpan w:val="4"/>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rPr>
                <w:rFonts w:hint="default" w:ascii="Times New Roman" w:hAnsi="Times New Roman" w:eastAsia="黑体" w:cs="Times New Roman"/>
                <w:b/>
                <w:bCs/>
                <w:kern w:val="0"/>
                <w:sz w:val="32"/>
                <w:szCs w:val="32"/>
              </w:rPr>
            </w:pPr>
            <w:r>
              <w:rPr>
                <w:rFonts w:hint="default" w:ascii="Times New Roman" w:hAnsi="Times New Roman" w:eastAsia="黑体" w:cs="Times New Roman"/>
                <w:b/>
                <w:bCs/>
                <w:kern w:val="0"/>
                <w:sz w:val="32"/>
                <w:szCs w:val="32"/>
              </w:rPr>
              <w:t>部门收支总表</w:t>
            </w:r>
          </w:p>
        </w:tc>
      </w:tr>
      <w:tr>
        <w:tblPrEx>
          <w:tblLayout w:type="fixed"/>
        </w:tblPrEx>
        <w:trPr>
          <w:trHeight w:val="390" w:hRule="atLeast"/>
        </w:trPr>
        <w:tc>
          <w:tcPr>
            <w:tcW w:w="4205" w:type="dxa"/>
            <w:tcBorders>
              <w:top w:val="nil"/>
              <w:left w:val="single" w:color="FFFFFF" w:sz="4" w:space="0"/>
              <w:bottom w:val="nil"/>
              <w:right w:val="single" w:color="FFFFFF"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2123"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金额单位：万元</w:t>
            </w:r>
          </w:p>
        </w:tc>
      </w:tr>
      <w:tr>
        <w:tblPrEx>
          <w:tblLayout w:type="fixed"/>
        </w:tblPrEx>
        <w:trPr>
          <w:trHeight w:val="488" w:hRule="atLeast"/>
        </w:trPr>
        <w:tc>
          <w:tcPr>
            <w:tcW w:w="5146"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收    入</w:t>
            </w:r>
          </w:p>
        </w:tc>
        <w:tc>
          <w:tcPr>
            <w:tcW w:w="6774" w:type="dxa"/>
            <w:gridSpan w:val="2"/>
            <w:tcBorders>
              <w:top w:val="single" w:color="C0C0C0" w:sz="4" w:space="0"/>
              <w:left w:val="nil"/>
              <w:bottom w:val="single" w:color="C0C0C0" w:sz="4" w:space="0"/>
              <w:right w:val="single" w:color="C0C0C0"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支    出</w:t>
            </w:r>
          </w:p>
        </w:tc>
      </w:tr>
      <w:tr>
        <w:tblPrEx>
          <w:tblLayout w:type="fixed"/>
        </w:tblPrEx>
        <w:trPr>
          <w:trHeight w:val="488" w:hRule="atLeast"/>
        </w:trPr>
        <w:tc>
          <w:tcPr>
            <w:tcW w:w="4205" w:type="dxa"/>
            <w:tcBorders>
              <w:top w:val="nil"/>
              <w:left w:val="single" w:color="C0C0C0" w:sz="4" w:space="0"/>
              <w:bottom w:val="single" w:color="C0C0C0" w:sz="4" w:space="0"/>
              <w:right w:val="single" w:color="C0C0C0"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项    目</w:t>
            </w:r>
          </w:p>
        </w:tc>
        <w:tc>
          <w:tcPr>
            <w:tcW w:w="941" w:type="dxa"/>
            <w:tcBorders>
              <w:top w:val="nil"/>
              <w:left w:val="nil"/>
              <w:bottom w:val="single" w:color="C0C0C0" w:sz="4" w:space="0"/>
              <w:right w:val="single" w:color="C0C0C0"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预算数</w:t>
            </w:r>
          </w:p>
        </w:tc>
        <w:tc>
          <w:tcPr>
            <w:tcW w:w="4651" w:type="dxa"/>
            <w:tcBorders>
              <w:top w:val="nil"/>
              <w:left w:val="nil"/>
              <w:bottom w:val="single" w:color="C0C0C0" w:sz="4" w:space="0"/>
              <w:right w:val="single" w:color="C0C0C0"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项    目</w:t>
            </w:r>
          </w:p>
        </w:tc>
        <w:tc>
          <w:tcPr>
            <w:tcW w:w="2123" w:type="dxa"/>
            <w:tcBorders>
              <w:top w:val="nil"/>
              <w:left w:val="nil"/>
              <w:bottom w:val="single" w:color="C0C0C0" w:sz="4" w:space="0"/>
              <w:right w:val="single" w:color="C0C0C0"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预算数</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一、一般公共预算拨款收入</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336.84</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一、一般公共服务支出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二、政府性基金预算拨款收入</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二、外交支出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三、国有资本经营预算拨款收入</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三、国防支出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四、财政专户管理资金收入</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四、公共安全支出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五、事业收入</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五、教育支出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六、上级补助收入</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六、科学技术支出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七、附属单位上缴收入</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七、文化旅游体育与传媒支出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八、事业单位经营收入</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八、社会保障和就业支出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32.41</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九、其他收入</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九、社会保险基金支出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十、卫生健康支出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14.04</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十一、节能环保支出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十二、城乡社区支出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十三、农林水支出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496.64</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十四、交通运输支出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十五、资源勘探工业信息等支出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十六、商业服务业等支出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十七、金融支出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十八、援助其他地区支出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十九、自然资源海洋气象等支出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二十、住房保障支出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4.16</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二十一、粮油物资储备支出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二十二、国有资本经营预算支出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二十三、灾害防治及应急管理支出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二十四、预备费</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二十五、其他支出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二十六、转移性支出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二十七、债务还本支出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二十八、债务付息支出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二十九、债务发行费用支出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三十、抗疫特别国债安排的支出</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本年收入合计</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336.84</w:t>
            </w:r>
          </w:p>
        </w:tc>
        <w:tc>
          <w:tcPr>
            <w:tcW w:w="4651" w:type="dxa"/>
            <w:tcBorders>
              <w:top w:val="nil"/>
              <w:left w:val="nil"/>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本年支出合计</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547.26</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上年结转</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210.42</w:t>
            </w:r>
          </w:p>
        </w:tc>
        <w:tc>
          <w:tcPr>
            <w:tcW w:w="4651" w:type="dxa"/>
            <w:tcBorders>
              <w:top w:val="nil"/>
              <w:left w:val="nil"/>
              <w:bottom w:val="single" w:color="C0C0C0" w:sz="4" w:space="0"/>
              <w:right w:val="single" w:color="C0C0C0"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结转下年</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420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收入总计</w:t>
            </w:r>
          </w:p>
        </w:tc>
        <w:tc>
          <w:tcPr>
            <w:tcW w:w="941"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547.26</w:t>
            </w:r>
          </w:p>
        </w:tc>
        <w:tc>
          <w:tcPr>
            <w:tcW w:w="4651" w:type="dxa"/>
            <w:tcBorders>
              <w:top w:val="nil"/>
              <w:left w:val="nil"/>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支出总计</w:t>
            </w:r>
          </w:p>
        </w:tc>
        <w:tc>
          <w:tcPr>
            <w:tcW w:w="2123"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547.26</w:t>
            </w:r>
          </w:p>
        </w:tc>
      </w:tr>
    </w:tbl>
    <w:p>
      <w:pPr>
        <w:rPr>
          <w:rFonts w:hint="default" w:ascii="Times New Roman" w:hAnsi="Times New Roman" w:eastAsia="黑体" w:cs="Times New Roman"/>
          <w:sz w:val="32"/>
          <w:szCs w:val="32"/>
        </w:rPr>
      </w:pPr>
    </w:p>
    <w:tbl>
      <w:tblPr>
        <w:tblStyle w:val="5"/>
        <w:tblW w:w="13461" w:type="dxa"/>
        <w:tblInd w:w="93" w:type="dxa"/>
        <w:tblLayout w:type="fixed"/>
        <w:tblCellMar>
          <w:top w:w="0" w:type="dxa"/>
          <w:left w:w="108" w:type="dxa"/>
          <w:bottom w:w="0" w:type="dxa"/>
          <w:right w:w="108" w:type="dxa"/>
        </w:tblCellMar>
      </w:tblPr>
      <w:tblGrid>
        <w:gridCol w:w="1356"/>
        <w:gridCol w:w="2540"/>
        <w:gridCol w:w="1160"/>
        <w:gridCol w:w="1080"/>
        <w:gridCol w:w="1160"/>
        <w:gridCol w:w="736"/>
        <w:gridCol w:w="701"/>
        <w:gridCol w:w="660"/>
        <w:gridCol w:w="642"/>
        <w:gridCol w:w="630"/>
        <w:gridCol w:w="618"/>
        <w:gridCol w:w="608"/>
        <w:gridCol w:w="1570"/>
      </w:tblGrid>
      <w:tr>
        <w:tblPrEx>
          <w:tblLayout w:type="fixed"/>
        </w:tblPrEx>
        <w:trPr>
          <w:trHeight w:val="458" w:hRule="atLeast"/>
        </w:trPr>
        <w:tc>
          <w:tcPr>
            <w:tcW w:w="13461" w:type="dxa"/>
            <w:gridSpan w:val="13"/>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rPr>
                <w:rFonts w:hint="default" w:ascii="Times New Roman" w:hAnsi="Times New Roman" w:eastAsia="黑体" w:cs="Times New Roman"/>
                <w:b/>
                <w:bCs/>
                <w:kern w:val="0"/>
                <w:sz w:val="32"/>
                <w:szCs w:val="32"/>
              </w:rPr>
            </w:pPr>
            <w:r>
              <w:rPr>
                <w:rFonts w:hint="default" w:ascii="Times New Roman" w:hAnsi="Times New Roman" w:eastAsia="黑体" w:cs="Times New Roman"/>
                <w:b/>
                <w:bCs/>
                <w:kern w:val="0"/>
                <w:sz w:val="32"/>
                <w:szCs w:val="32"/>
              </w:rPr>
              <w:t>部门收入总表</w:t>
            </w:r>
          </w:p>
        </w:tc>
      </w:tr>
      <w:tr>
        <w:tblPrEx>
          <w:tblLayout w:type="fixed"/>
        </w:tblPrEx>
        <w:trPr>
          <w:trHeight w:val="390" w:hRule="atLeast"/>
        </w:trPr>
        <w:tc>
          <w:tcPr>
            <w:tcW w:w="1356" w:type="dxa"/>
            <w:tcBorders>
              <w:top w:val="nil"/>
              <w:left w:val="single" w:color="FFFFFF" w:sz="4" w:space="0"/>
              <w:bottom w:val="nil"/>
              <w:right w:val="single" w:color="FFFFFF" w:sz="4" w:space="0"/>
            </w:tcBorders>
            <w:shd w:val="clear" w:color="auto" w:fill="auto"/>
            <w:vAlign w:val="center"/>
          </w:tcPr>
          <w:p>
            <w:pPr>
              <w:widowControl/>
              <w:jc w:val="left"/>
              <w:rPr>
                <w:rFonts w:hint="default" w:ascii="Times New Roman" w:hAnsi="Times New Roman" w:cs="Times New Roman"/>
                <w:color w:val="FFFFFF"/>
                <w:kern w:val="0"/>
                <w:sz w:val="22"/>
              </w:rPr>
            </w:pPr>
            <w:r>
              <w:rPr>
                <w:rFonts w:hint="default" w:ascii="Times New Roman" w:hAnsi="Times New Roman" w:cs="Times New Roman"/>
                <w:color w:val="FFFFFF"/>
                <w:kern w:val="0"/>
                <w:sz w:val="22"/>
              </w:rPr>
              <w:t>　</w:t>
            </w:r>
          </w:p>
        </w:tc>
        <w:tc>
          <w:tcPr>
            <w:tcW w:w="254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color w:val="C0C0C0"/>
                <w:kern w:val="0"/>
                <w:sz w:val="20"/>
                <w:szCs w:val="20"/>
              </w:rPr>
            </w:pPr>
            <w:r>
              <w:rPr>
                <w:rFonts w:hint="default" w:ascii="Times New Roman" w:hAnsi="Times New Roman" w:cs="Times New Roman"/>
                <w:color w:val="C0C0C0"/>
                <w:kern w:val="0"/>
                <w:sz w:val="20"/>
                <w:szCs w:val="20"/>
              </w:rPr>
              <w:t>　</w:t>
            </w:r>
          </w:p>
        </w:tc>
        <w:tc>
          <w:tcPr>
            <w:tcW w:w="116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color w:val="C0C0C0"/>
                <w:kern w:val="0"/>
                <w:sz w:val="20"/>
                <w:szCs w:val="20"/>
              </w:rPr>
            </w:pPr>
            <w:r>
              <w:rPr>
                <w:rFonts w:hint="default" w:ascii="Times New Roman" w:hAnsi="Times New Roman" w:cs="Times New Roman"/>
                <w:color w:val="C0C0C0"/>
                <w:kern w:val="0"/>
                <w:sz w:val="20"/>
                <w:szCs w:val="20"/>
              </w:rPr>
              <w:t>　</w:t>
            </w:r>
          </w:p>
        </w:tc>
        <w:tc>
          <w:tcPr>
            <w:tcW w:w="108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160" w:type="dxa"/>
            <w:tcBorders>
              <w:top w:val="nil"/>
              <w:left w:val="nil"/>
              <w:bottom w:val="nil"/>
              <w:right w:val="single" w:color="FFFFFF"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736"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701"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66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642"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63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618"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608"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18"/>
                <w:szCs w:val="18"/>
              </w:rPr>
            </w:pPr>
          </w:p>
        </w:tc>
        <w:tc>
          <w:tcPr>
            <w:tcW w:w="1570" w:type="dxa"/>
            <w:tcBorders>
              <w:top w:val="nil"/>
              <w:left w:val="nil"/>
              <w:bottom w:val="nil"/>
              <w:right w:val="single" w:color="FFFFFF"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金额单位：万元</w:t>
            </w:r>
          </w:p>
        </w:tc>
      </w:tr>
      <w:tr>
        <w:tblPrEx>
          <w:tblLayout w:type="fixed"/>
        </w:tblPrEx>
        <w:trPr>
          <w:trHeight w:val="488" w:hRule="atLeast"/>
        </w:trPr>
        <w:tc>
          <w:tcPr>
            <w:tcW w:w="135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部门（单位）</w:t>
            </w:r>
            <w:r>
              <w:rPr>
                <w:rFonts w:hint="default" w:ascii="Times New Roman" w:hAnsi="Times New Roman" w:cs="Times New Roman"/>
                <w:b/>
                <w:bCs/>
                <w:kern w:val="0"/>
                <w:sz w:val="22"/>
              </w:rPr>
              <w:br w:type="textWrapping"/>
            </w:r>
            <w:r>
              <w:rPr>
                <w:rFonts w:hint="default" w:ascii="Times New Roman" w:hAnsi="Times New Roman" w:cs="Times New Roman"/>
                <w:b/>
                <w:bCs/>
                <w:kern w:val="0"/>
                <w:sz w:val="22"/>
              </w:rPr>
              <w:t>代码</w:t>
            </w:r>
          </w:p>
        </w:tc>
        <w:tc>
          <w:tcPr>
            <w:tcW w:w="25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部门（单位）</w:t>
            </w:r>
            <w:r>
              <w:rPr>
                <w:rFonts w:hint="default" w:ascii="Times New Roman" w:hAnsi="Times New Roman" w:cs="Times New Roman"/>
                <w:b/>
                <w:bCs/>
                <w:kern w:val="0"/>
                <w:sz w:val="22"/>
              </w:rPr>
              <w:br w:type="textWrapping"/>
            </w:r>
            <w:r>
              <w:rPr>
                <w:rFonts w:hint="default" w:ascii="Times New Roman" w:hAnsi="Times New Roman" w:cs="Times New Roman"/>
                <w:b/>
                <w:bCs/>
                <w:kern w:val="0"/>
                <w:sz w:val="22"/>
              </w:rPr>
              <w:t>名称</w:t>
            </w:r>
          </w:p>
        </w:tc>
        <w:tc>
          <w:tcPr>
            <w:tcW w:w="9565" w:type="dxa"/>
            <w:gridSpan w:val="11"/>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资金性质</w:t>
            </w:r>
          </w:p>
        </w:tc>
      </w:tr>
      <w:tr>
        <w:tblPrEx>
          <w:tblLayout w:type="fixed"/>
        </w:tblPrEx>
        <w:trPr>
          <w:trHeight w:val="1545" w:hRule="atLeast"/>
        </w:trPr>
        <w:tc>
          <w:tcPr>
            <w:tcW w:w="1356" w:type="dxa"/>
            <w:vMerge w:val="continue"/>
            <w:tcBorders>
              <w:top w:val="single" w:color="C2C3C4" w:sz="4" w:space="0"/>
              <w:left w:val="single" w:color="C2C3C4" w:sz="4" w:space="0"/>
              <w:bottom w:val="single" w:color="C2C3C4" w:sz="4" w:space="0"/>
              <w:right w:val="single" w:color="C2C3C4" w:sz="4" w:space="0"/>
            </w:tcBorders>
            <w:vAlign w:val="center"/>
          </w:tcPr>
          <w:p>
            <w:pPr>
              <w:widowControl/>
              <w:jc w:val="left"/>
              <w:rPr>
                <w:rFonts w:hint="default" w:ascii="Times New Roman" w:hAnsi="Times New Roman" w:cs="Times New Roman"/>
                <w:b/>
                <w:bCs/>
                <w:kern w:val="0"/>
                <w:sz w:val="22"/>
              </w:rPr>
            </w:pPr>
          </w:p>
        </w:tc>
        <w:tc>
          <w:tcPr>
            <w:tcW w:w="2540" w:type="dxa"/>
            <w:vMerge w:val="continue"/>
            <w:tcBorders>
              <w:top w:val="single" w:color="C2C3C4" w:sz="4" w:space="0"/>
              <w:left w:val="single" w:color="C2C3C4" w:sz="4" w:space="0"/>
              <w:bottom w:val="single" w:color="C2C3C4" w:sz="4" w:space="0"/>
              <w:right w:val="single" w:color="C2C3C4" w:sz="4" w:space="0"/>
            </w:tcBorders>
            <w:vAlign w:val="center"/>
          </w:tcPr>
          <w:p>
            <w:pPr>
              <w:widowControl/>
              <w:jc w:val="left"/>
              <w:rPr>
                <w:rFonts w:hint="default" w:ascii="Times New Roman" w:hAnsi="Times New Roman" w:cs="Times New Roman"/>
                <w:b/>
                <w:bCs/>
                <w:kern w:val="0"/>
                <w:sz w:val="22"/>
              </w:rPr>
            </w:pPr>
          </w:p>
        </w:tc>
        <w:tc>
          <w:tcPr>
            <w:tcW w:w="116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小计</w:t>
            </w:r>
          </w:p>
        </w:tc>
        <w:tc>
          <w:tcPr>
            <w:tcW w:w="108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上年结转</w:t>
            </w:r>
          </w:p>
        </w:tc>
        <w:tc>
          <w:tcPr>
            <w:tcW w:w="116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一般公共预算拨款收入</w:t>
            </w:r>
          </w:p>
        </w:tc>
        <w:tc>
          <w:tcPr>
            <w:tcW w:w="736"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政府性基金预算拨款收入</w:t>
            </w:r>
          </w:p>
        </w:tc>
        <w:tc>
          <w:tcPr>
            <w:tcW w:w="701"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国有资本经营预算拨款收入</w:t>
            </w:r>
          </w:p>
        </w:tc>
        <w:tc>
          <w:tcPr>
            <w:tcW w:w="66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财政专户管理资金收入</w:t>
            </w:r>
          </w:p>
        </w:tc>
        <w:tc>
          <w:tcPr>
            <w:tcW w:w="642"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事业收入</w:t>
            </w:r>
          </w:p>
        </w:tc>
        <w:tc>
          <w:tcPr>
            <w:tcW w:w="63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上级补助收入</w:t>
            </w:r>
          </w:p>
        </w:tc>
        <w:tc>
          <w:tcPr>
            <w:tcW w:w="618"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附属单位上缴收入</w:t>
            </w:r>
          </w:p>
        </w:tc>
        <w:tc>
          <w:tcPr>
            <w:tcW w:w="608"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事业单位经营收入</w:t>
            </w:r>
          </w:p>
        </w:tc>
        <w:tc>
          <w:tcPr>
            <w:tcW w:w="157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其他收入</w:t>
            </w:r>
          </w:p>
        </w:tc>
      </w:tr>
      <w:tr>
        <w:tblPrEx>
          <w:tblLayout w:type="fixed"/>
        </w:tblPrEx>
        <w:trPr>
          <w:trHeight w:val="458" w:hRule="atLeast"/>
        </w:trPr>
        <w:tc>
          <w:tcPr>
            <w:tcW w:w="3896"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合    计</w:t>
            </w:r>
          </w:p>
        </w:tc>
        <w:tc>
          <w:tcPr>
            <w:tcW w:w="11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547.26</w:t>
            </w:r>
          </w:p>
        </w:tc>
        <w:tc>
          <w:tcPr>
            <w:tcW w:w="10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210.42</w:t>
            </w:r>
          </w:p>
        </w:tc>
        <w:tc>
          <w:tcPr>
            <w:tcW w:w="11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336.84</w:t>
            </w:r>
          </w:p>
        </w:tc>
        <w:tc>
          <w:tcPr>
            <w:tcW w:w="736"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701"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642"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63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618"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608"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157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　</w:t>
            </w:r>
          </w:p>
        </w:tc>
      </w:tr>
      <w:tr>
        <w:tblPrEx>
          <w:tblLayout w:type="fixed"/>
        </w:tblPrEx>
        <w:trPr>
          <w:trHeight w:val="458" w:hRule="atLeast"/>
        </w:trPr>
        <w:tc>
          <w:tcPr>
            <w:tcW w:w="135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351</w:t>
            </w:r>
          </w:p>
        </w:tc>
        <w:tc>
          <w:tcPr>
            <w:tcW w:w="254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三亚市农业农村局</w:t>
            </w:r>
          </w:p>
        </w:tc>
        <w:tc>
          <w:tcPr>
            <w:tcW w:w="11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547.26</w:t>
            </w:r>
          </w:p>
        </w:tc>
        <w:tc>
          <w:tcPr>
            <w:tcW w:w="10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210.42</w:t>
            </w:r>
          </w:p>
        </w:tc>
        <w:tc>
          <w:tcPr>
            <w:tcW w:w="11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336.84</w:t>
            </w:r>
          </w:p>
        </w:tc>
        <w:tc>
          <w:tcPr>
            <w:tcW w:w="736"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701"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642"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63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618"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608"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7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135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351009</w:t>
            </w:r>
          </w:p>
        </w:tc>
        <w:tc>
          <w:tcPr>
            <w:tcW w:w="254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三亚市农业机械化管理局</w:t>
            </w:r>
          </w:p>
        </w:tc>
        <w:tc>
          <w:tcPr>
            <w:tcW w:w="11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547.26</w:t>
            </w:r>
          </w:p>
        </w:tc>
        <w:tc>
          <w:tcPr>
            <w:tcW w:w="10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210.42</w:t>
            </w:r>
          </w:p>
        </w:tc>
        <w:tc>
          <w:tcPr>
            <w:tcW w:w="11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336.84</w:t>
            </w:r>
          </w:p>
        </w:tc>
        <w:tc>
          <w:tcPr>
            <w:tcW w:w="736"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701"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642"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63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618"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608"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7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bl>
    <w:p>
      <w:pPr>
        <w:rPr>
          <w:rFonts w:hint="default" w:ascii="Times New Roman" w:hAnsi="Times New Roman" w:eastAsia="黑体" w:cs="Times New Roman"/>
          <w:sz w:val="32"/>
          <w:szCs w:val="32"/>
        </w:rPr>
      </w:pPr>
    </w:p>
    <w:p>
      <w:pPr>
        <w:rPr>
          <w:rFonts w:hint="default" w:ascii="Times New Roman" w:hAnsi="Times New Roman" w:eastAsia="黑体" w:cs="Times New Roman"/>
          <w:sz w:val="32"/>
          <w:szCs w:val="32"/>
        </w:rPr>
      </w:pPr>
    </w:p>
    <w:tbl>
      <w:tblPr>
        <w:tblStyle w:val="5"/>
        <w:tblW w:w="14359" w:type="dxa"/>
        <w:tblInd w:w="93" w:type="dxa"/>
        <w:tblLayout w:type="fixed"/>
        <w:tblCellMar>
          <w:top w:w="0" w:type="dxa"/>
          <w:left w:w="108" w:type="dxa"/>
          <w:bottom w:w="0" w:type="dxa"/>
          <w:right w:w="108" w:type="dxa"/>
        </w:tblCellMar>
      </w:tblPr>
      <w:tblGrid>
        <w:gridCol w:w="222"/>
        <w:gridCol w:w="1797"/>
        <w:gridCol w:w="940"/>
        <w:gridCol w:w="940"/>
        <w:gridCol w:w="3700"/>
        <w:gridCol w:w="1780"/>
        <w:gridCol w:w="1660"/>
        <w:gridCol w:w="1660"/>
        <w:gridCol w:w="1660"/>
      </w:tblGrid>
      <w:tr>
        <w:tblPrEx>
          <w:tblLayout w:type="fixed"/>
        </w:tblPrEx>
        <w:trPr>
          <w:trHeight w:val="458" w:hRule="atLeast"/>
        </w:trPr>
        <w:tc>
          <w:tcPr>
            <w:tcW w:w="222" w:type="dxa"/>
            <w:tcBorders>
              <w:top w:val="single" w:color="FFFFFF" w:sz="4" w:space="0"/>
              <w:left w:val="nil"/>
              <w:bottom w:val="single" w:color="FFFFFF" w:sz="4" w:space="0"/>
              <w:right w:val="nil"/>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797"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rPr>
                <w:rFonts w:hint="default" w:ascii="Times New Roman" w:hAnsi="Times New Roman" w:eastAsia="黑体" w:cs="Times New Roman"/>
                <w:b/>
                <w:bCs/>
                <w:kern w:val="0"/>
                <w:sz w:val="32"/>
                <w:szCs w:val="32"/>
              </w:rPr>
            </w:pPr>
            <w:r>
              <w:rPr>
                <w:rFonts w:hint="default" w:ascii="Times New Roman" w:hAnsi="Times New Roman" w:eastAsia="黑体" w:cs="Times New Roman"/>
                <w:b/>
                <w:bCs/>
                <w:kern w:val="0"/>
                <w:sz w:val="32"/>
                <w:szCs w:val="32"/>
              </w:rPr>
              <w:t>　</w:t>
            </w:r>
          </w:p>
        </w:tc>
        <w:tc>
          <w:tcPr>
            <w:tcW w:w="940" w:type="dxa"/>
            <w:tcBorders>
              <w:top w:val="single" w:color="FFFFFF" w:sz="4" w:space="0"/>
              <w:left w:val="nil"/>
              <w:bottom w:val="single" w:color="FFFFFF" w:sz="4" w:space="0"/>
              <w:right w:val="single" w:color="FFFFFF" w:sz="4" w:space="0"/>
            </w:tcBorders>
            <w:shd w:val="clear" w:color="auto" w:fill="auto"/>
            <w:vAlign w:val="center"/>
          </w:tcPr>
          <w:p>
            <w:pPr>
              <w:widowControl/>
              <w:jc w:val="center"/>
              <w:rPr>
                <w:rFonts w:hint="default" w:ascii="Times New Roman" w:hAnsi="Times New Roman" w:eastAsia="黑体" w:cs="Times New Roman"/>
                <w:b/>
                <w:bCs/>
                <w:kern w:val="0"/>
                <w:sz w:val="32"/>
                <w:szCs w:val="32"/>
              </w:rPr>
            </w:pPr>
            <w:r>
              <w:rPr>
                <w:rFonts w:hint="default" w:ascii="Times New Roman" w:hAnsi="Times New Roman" w:eastAsia="黑体" w:cs="Times New Roman"/>
                <w:b/>
                <w:bCs/>
                <w:kern w:val="0"/>
                <w:sz w:val="32"/>
                <w:szCs w:val="32"/>
              </w:rPr>
              <w:t>　</w:t>
            </w:r>
          </w:p>
        </w:tc>
        <w:tc>
          <w:tcPr>
            <w:tcW w:w="940" w:type="dxa"/>
            <w:tcBorders>
              <w:top w:val="single" w:color="FFFFFF" w:sz="4" w:space="0"/>
              <w:left w:val="nil"/>
              <w:bottom w:val="single" w:color="FFFFFF" w:sz="4" w:space="0"/>
              <w:right w:val="single" w:color="FFFFFF" w:sz="4" w:space="0"/>
            </w:tcBorders>
            <w:shd w:val="clear" w:color="auto" w:fill="auto"/>
            <w:vAlign w:val="center"/>
          </w:tcPr>
          <w:p>
            <w:pPr>
              <w:widowControl/>
              <w:jc w:val="center"/>
              <w:rPr>
                <w:rFonts w:hint="default" w:ascii="Times New Roman" w:hAnsi="Times New Roman" w:eastAsia="黑体" w:cs="Times New Roman"/>
                <w:b/>
                <w:bCs/>
                <w:kern w:val="0"/>
                <w:sz w:val="32"/>
                <w:szCs w:val="32"/>
              </w:rPr>
            </w:pPr>
            <w:r>
              <w:rPr>
                <w:rFonts w:hint="default" w:ascii="Times New Roman" w:hAnsi="Times New Roman" w:eastAsia="黑体" w:cs="Times New Roman"/>
                <w:b/>
                <w:bCs/>
                <w:kern w:val="0"/>
                <w:sz w:val="32"/>
                <w:szCs w:val="32"/>
              </w:rPr>
              <w:t>　</w:t>
            </w:r>
          </w:p>
        </w:tc>
        <w:tc>
          <w:tcPr>
            <w:tcW w:w="5480" w:type="dxa"/>
            <w:gridSpan w:val="2"/>
            <w:tcBorders>
              <w:top w:val="single" w:color="FFFFFF" w:sz="4" w:space="0"/>
              <w:left w:val="nil"/>
              <w:bottom w:val="single" w:color="FFFFFF" w:sz="4" w:space="0"/>
              <w:right w:val="single" w:color="FFFFFF" w:sz="4" w:space="0"/>
            </w:tcBorders>
            <w:shd w:val="clear" w:color="auto" w:fill="auto"/>
            <w:vAlign w:val="center"/>
          </w:tcPr>
          <w:p>
            <w:pPr>
              <w:widowControl/>
              <w:jc w:val="center"/>
              <w:rPr>
                <w:rFonts w:hint="default" w:ascii="Times New Roman" w:hAnsi="Times New Roman" w:eastAsia="黑体" w:cs="Times New Roman"/>
                <w:b/>
                <w:bCs/>
                <w:kern w:val="0"/>
                <w:sz w:val="32"/>
                <w:szCs w:val="32"/>
              </w:rPr>
            </w:pPr>
            <w:r>
              <w:rPr>
                <w:rFonts w:hint="default" w:ascii="Times New Roman" w:hAnsi="Times New Roman" w:eastAsia="黑体" w:cs="Times New Roman"/>
                <w:b/>
                <w:bCs/>
                <w:kern w:val="0"/>
                <w:sz w:val="32"/>
                <w:szCs w:val="32"/>
              </w:rPr>
              <w:t>部门支出总表</w:t>
            </w:r>
          </w:p>
        </w:tc>
        <w:tc>
          <w:tcPr>
            <w:tcW w:w="1660" w:type="dxa"/>
            <w:tcBorders>
              <w:top w:val="single" w:color="FFFFFF" w:sz="4" w:space="0"/>
              <w:left w:val="nil"/>
              <w:bottom w:val="single" w:color="FFFFFF" w:sz="4" w:space="0"/>
              <w:right w:val="single" w:color="FFFFFF" w:sz="4" w:space="0"/>
            </w:tcBorders>
            <w:shd w:val="clear" w:color="auto" w:fill="auto"/>
            <w:vAlign w:val="center"/>
          </w:tcPr>
          <w:p>
            <w:pPr>
              <w:widowControl/>
              <w:jc w:val="center"/>
              <w:rPr>
                <w:rFonts w:hint="default" w:ascii="Times New Roman" w:hAnsi="Times New Roman" w:eastAsia="黑体" w:cs="Times New Roman"/>
                <w:b/>
                <w:bCs/>
                <w:kern w:val="0"/>
                <w:sz w:val="32"/>
                <w:szCs w:val="32"/>
              </w:rPr>
            </w:pPr>
            <w:r>
              <w:rPr>
                <w:rFonts w:hint="default" w:ascii="Times New Roman" w:hAnsi="Times New Roman" w:eastAsia="黑体" w:cs="Times New Roman"/>
                <w:b/>
                <w:bCs/>
                <w:kern w:val="0"/>
                <w:sz w:val="32"/>
                <w:szCs w:val="32"/>
              </w:rPr>
              <w:t>　</w:t>
            </w:r>
          </w:p>
        </w:tc>
        <w:tc>
          <w:tcPr>
            <w:tcW w:w="1660" w:type="dxa"/>
            <w:tcBorders>
              <w:top w:val="single" w:color="FFFFFF" w:sz="4" w:space="0"/>
              <w:left w:val="nil"/>
              <w:bottom w:val="single" w:color="FFFFFF" w:sz="4" w:space="0"/>
              <w:right w:val="single" w:color="FFFFFF" w:sz="4" w:space="0"/>
            </w:tcBorders>
            <w:shd w:val="clear" w:color="auto" w:fill="auto"/>
            <w:vAlign w:val="center"/>
          </w:tcPr>
          <w:p>
            <w:pPr>
              <w:widowControl/>
              <w:jc w:val="center"/>
              <w:rPr>
                <w:rFonts w:hint="default" w:ascii="Times New Roman" w:hAnsi="Times New Roman" w:eastAsia="黑体" w:cs="Times New Roman"/>
                <w:b/>
                <w:bCs/>
                <w:kern w:val="0"/>
                <w:sz w:val="32"/>
                <w:szCs w:val="32"/>
              </w:rPr>
            </w:pPr>
            <w:r>
              <w:rPr>
                <w:rFonts w:hint="default" w:ascii="Times New Roman" w:hAnsi="Times New Roman" w:eastAsia="黑体" w:cs="Times New Roman"/>
                <w:b/>
                <w:bCs/>
                <w:kern w:val="0"/>
                <w:sz w:val="32"/>
                <w:szCs w:val="32"/>
              </w:rPr>
              <w:t>　</w:t>
            </w:r>
          </w:p>
        </w:tc>
        <w:tc>
          <w:tcPr>
            <w:tcW w:w="1660" w:type="dxa"/>
            <w:tcBorders>
              <w:top w:val="single" w:color="FFFFFF" w:sz="4" w:space="0"/>
              <w:left w:val="nil"/>
              <w:bottom w:val="single" w:color="FFFFFF" w:sz="4" w:space="0"/>
              <w:right w:val="single" w:color="FFFFFF" w:sz="4" w:space="0"/>
            </w:tcBorders>
            <w:shd w:val="clear" w:color="auto" w:fill="auto"/>
            <w:vAlign w:val="center"/>
          </w:tcPr>
          <w:p>
            <w:pPr>
              <w:widowControl/>
              <w:jc w:val="center"/>
              <w:rPr>
                <w:rFonts w:hint="default" w:ascii="Times New Roman" w:hAnsi="Times New Roman" w:eastAsia="黑体" w:cs="Times New Roman"/>
                <w:b/>
                <w:bCs/>
                <w:kern w:val="0"/>
                <w:sz w:val="32"/>
                <w:szCs w:val="32"/>
              </w:rPr>
            </w:pPr>
            <w:r>
              <w:rPr>
                <w:rFonts w:hint="default" w:ascii="Times New Roman" w:hAnsi="Times New Roman" w:eastAsia="黑体" w:cs="Times New Roman"/>
                <w:b/>
                <w:bCs/>
                <w:kern w:val="0"/>
                <w:sz w:val="32"/>
                <w:szCs w:val="32"/>
              </w:rPr>
              <w:t>　</w:t>
            </w:r>
          </w:p>
        </w:tc>
      </w:tr>
      <w:tr>
        <w:tblPrEx>
          <w:tblLayout w:type="fixed"/>
        </w:tblPrEx>
        <w:trPr>
          <w:trHeight w:val="390" w:hRule="atLeast"/>
        </w:trPr>
        <w:tc>
          <w:tcPr>
            <w:tcW w:w="222" w:type="dxa"/>
            <w:tcBorders>
              <w:top w:val="nil"/>
              <w:left w:val="nil"/>
              <w:bottom w:val="single" w:color="FFFFFF" w:sz="4" w:space="0"/>
              <w:right w:val="nil"/>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797" w:type="dxa"/>
            <w:tcBorders>
              <w:top w:val="nil"/>
              <w:left w:val="single" w:color="FFFFFF" w:sz="4" w:space="0"/>
              <w:bottom w:val="nil"/>
              <w:right w:val="single" w:color="FFFFFF"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370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78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660" w:type="dxa"/>
            <w:tcBorders>
              <w:top w:val="nil"/>
              <w:left w:val="nil"/>
              <w:bottom w:val="nil"/>
              <w:right w:val="single" w:color="FFFFFF" w:sz="4" w:space="0"/>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660" w:type="dxa"/>
            <w:tcBorders>
              <w:top w:val="nil"/>
              <w:left w:val="nil"/>
              <w:bottom w:val="nil"/>
              <w:right w:val="nil"/>
            </w:tcBorders>
            <w:shd w:val="clear" w:color="auto" w:fill="auto"/>
            <w:vAlign w:val="center"/>
          </w:tcPr>
          <w:p>
            <w:pPr>
              <w:widowControl/>
              <w:jc w:val="left"/>
              <w:rPr>
                <w:rFonts w:hint="default" w:ascii="Times New Roman" w:hAnsi="Times New Roman" w:cs="Times New Roman"/>
                <w:color w:val="000000"/>
                <w:kern w:val="0"/>
                <w:sz w:val="22"/>
              </w:rPr>
            </w:pPr>
          </w:p>
        </w:tc>
        <w:tc>
          <w:tcPr>
            <w:tcW w:w="1660" w:type="dxa"/>
            <w:tcBorders>
              <w:top w:val="nil"/>
              <w:left w:val="single" w:color="FFFFFF" w:sz="4" w:space="0"/>
              <w:bottom w:val="nil"/>
              <w:right w:val="single" w:color="FFFFFF"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金额单位：万元</w:t>
            </w:r>
          </w:p>
        </w:tc>
      </w:tr>
      <w:tr>
        <w:tblPrEx>
          <w:tblLayout w:type="fixed"/>
        </w:tblPrEx>
        <w:trPr>
          <w:trHeight w:val="488" w:hRule="atLeast"/>
        </w:trPr>
        <w:tc>
          <w:tcPr>
            <w:tcW w:w="222" w:type="dxa"/>
            <w:tcBorders>
              <w:top w:val="nil"/>
              <w:left w:val="nil"/>
              <w:bottom w:val="single" w:color="FFFFFF" w:sz="4" w:space="0"/>
              <w:right w:val="nil"/>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797"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支出功能分类科目</w:t>
            </w:r>
          </w:p>
        </w:tc>
        <w:tc>
          <w:tcPr>
            <w:tcW w:w="940" w:type="dxa"/>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940" w:type="dxa"/>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3700" w:type="dxa"/>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1780" w:type="dxa"/>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2022年预算数</w:t>
            </w:r>
          </w:p>
        </w:tc>
        <w:tc>
          <w:tcPr>
            <w:tcW w:w="1660" w:type="dxa"/>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1660" w:type="dxa"/>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1660" w:type="dxa"/>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　</w:t>
            </w:r>
          </w:p>
        </w:tc>
      </w:tr>
      <w:tr>
        <w:tblPrEx>
          <w:tblLayout w:type="fixed"/>
        </w:tblPrEx>
        <w:trPr>
          <w:trHeight w:val="488" w:hRule="atLeast"/>
        </w:trPr>
        <w:tc>
          <w:tcPr>
            <w:tcW w:w="222" w:type="dxa"/>
            <w:tcBorders>
              <w:top w:val="nil"/>
              <w:left w:val="nil"/>
              <w:bottom w:val="nil"/>
              <w:right w:val="nil"/>
            </w:tcBorders>
            <w:shd w:val="clear" w:color="auto" w:fill="auto"/>
            <w:vAlign w:val="center"/>
          </w:tcPr>
          <w:p>
            <w:pPr>
              <w:widowControl/>
              <w:jc w:val="left"/>
              <w:rPr>
                <w:rFonts w:hint="default" w:ascii="Times New Roman" w:hAnsi="Times New Roman" w:cs="Times New Roman"/>
                <w:kern w:val="0"/>
                <w:sz w:val="18"/>
                <w:szCs w:val="18"/>
              </w:rPr>
            </w:pPr>
          </w:p>
        </w:tc>
        <w:tc>
          <w:tcPr>
            <w:tcW w:w="1797" w:type="dxa"/>
            <w:tcBorders>
              <w:top w:val="nil"/>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科目编码</w:t>
            </w:r>
          </w:p>
        </w:tc>
        <w:tc>
          <w:tcPr>
            <w:tcW w:w="94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94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370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科目名称</w:t>
            </w:r>
          </w:p>
        </w:tc>
        <w:tc>
          <w:tcPr>
            <w:tcW w:w="178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合计</w:t>
            </w:r>
          </w:p>
        </w:tc>
        <w:tc>
          <w:tcPr>
            <w:tcW w:w="166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基本支出</w:t>
            </w:r>
          </w:p>
        </w:tc>
        <w:tc>
          <w:tcPr>
            <w:tcW w:w="166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166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项目支出</w:t>
            </w:r>
          </w:p>
        </w:tc>
      </w:tr>
      <w:tr>
        <w:tblPrEx>
          <w:tblLayout w:type="fixed"/>
        </w:tblPrEx>
        <w:trPr>
          <w:trHeight w:val="488" w:hRule="atLeast"/>
        </w:trPr>
        <w:tc>
          <w:tcPr>
            <w:tcW w:w="222" w:type="dxa"/>
            <w:tcBorders>
              <w:top w:val="single" w:color="FFFFFF" w:sz="4" w:space="0"/>
              <w:left w:val="nil"/>
              <w:bottom w:val="single" w:color="FFFFFF" w:sz="4" w:space="0"/>
              <w:right w:val="nil"/>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797" w:type="dxa"/>
            <w:tcBorders>
              <w:top w:val="nil"/>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类</w:t>
            </w:r>
          </w:p>
        </w:tc>
        <w:tc>
          <w:tcPr>
            <w:tcW w:w="94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款</w:t>
            </w:r>
          </w:p>
        </w:tc>
        <w:tc>
          <w:tcPr>
            <w:tcW w:w="94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项</w:t>
            </w:r>
          </w:p>
        </w:tc>
        <w:tc>
          <w:tcPr>
            <w:tcW w:w="370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178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166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人员经费</w:t>
            </w:r>
          </w:p>
        </w:tc>
        <w:tc>
          <w:tcPr>
            <w:tcW w:w="166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公用经费</w:t>
            </w:r>
          </w:p>
        </w:tc>
        <w:tc>
          <w:tcPr>
            <w:tcW w:w="1660" w:type="dxa"/>
            <w:tcBorders>
              <w:top w:val="nil"/>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　</w:t>
            </w:r>
          </w:p>
        </w:tc>
      </w:tr>
      <w:tr>
        <w:tblPrEx>
          <w:tblLayout w:type="fixed"/>
        </w:tblPrEx>
        <w:trPr>
          <w:trHeight w:val="458" w:hRule="atLeast"/>
        </w:trPr>
        <w:tc>
          <w:tcPr>
            <w:tcW w:w="222" w:type="dxa"/>
            <w:tcBorders>
              <w:top w:val="nil"/>
              <w:left w:val="nil"/>
              <w:bottom w:val="single" w:color="FFFFFF" w:sz="4" w:space="0"/>
              <w:right w:val="nil"/>
            </w:tcBorders>
            <w:shd w:val="clear" w:color="auto" w:fill="auto"/>
            <w:vAlign w:val="center"/>
          </w:tcPr>
          <w:p>
            <w:pPr>
              <w:widowControl/>
              <w:jc w:val="left"/>
              <w:rPr>
                <w:rFonts w:hint="default" w:ascii="Times New Roman" w:hAnsi="Times New Roman" w:cs="Times New Roman"/>
                <w:b/>
                <w:bCs/>
                <w:kern w:val="0"/>
                <w:sz w:val="18"/>
                <w:szCs w:val="18"/>
              </w:rPr>
            </w:pPr>
            <w:r>
              <w:rPr>
                <w:rFonts w:hint="default" w:ascii="Times New Roman" w:hAnsi="Times New Roman" w:cs="Times New Roman"/>
                <w:b/>
                <w:bCs/>
                <w:kern w:val="0"/>
                <w:sz w:val="18"/>
                <w:szCs w:val="18"/>
              </w:rPr>
              <w:t>　</w:t>
            </w:r>
          </w:p>
        </w:tc>
        <w:tc>
          <w:tcPr>
            <w:tcW w:w="1797" w:type="dxa"/>
            <w:tcBorders>
              <w:top w:val="nil"/>
              <w:left w:val="single" w:color="C2C3C4" w:sz="4" w:space="0"/>
              <w:bottom w:val="single" w:color="C2C3C4" w:sz="4" w:space="0"/>
              <w:right w:val="single" w:color="C2C3C4" w:sz="4" w:space="0"/>
            </w:tcBorders>
            <w:shd w:val="clear" w:color="auto" w:fill="auto"/>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合    计</w:t>
            </w:r>
          </w:p>
        </w:tc>
        <w:tc>
          <w:tcPr>
            <w:tcW w:w="940" w:type="dxa"/>
            <w:tcBorders>
              <w:top w:val="nil"/>
              <w:left w:val="nil"/>
              <w:bottom w:val="single" w:color="C2C3C4" w:sz="4" w:space="0"/>
              <w:right w:val="single" w:color="C2C3C4" w:sz="4" w:space="0"/>
            </w:tcBorders>
            <w:shd w:val="clear" w:color="auto" w:fill="auto"/>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940" w:type="dxa"/>
            <w:tcBorders>
              <w:top w:val="nil"/>
              <w:left w:val="nil"/>
              <w:bottom w:val="single" w:color="C2C3C4" w:sz="4" w:space="0"/>
              <w:right w:val="single" w:color="C2C3C4" w:sz="4" w:space="0"/>
            </w:tcBorders>
            <w:shd w:val="clear" w:color="auto" w:fill="auto"/>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3700" w:type="dxa"/>
            <w:tcBorders>
              <w:top w:val="nil"/>
              <w:left w:val="nil"/>
              <w:bottom w:val="single" w:color="C2C3C4" w:sz="4" w:space="0"/>
              <w:right w:val="single" w:color="C2C3C4" w:sz="4" w:space="0"/>
            </w:tcBorders>
            <w:shd w:val="clear" w:color="auto" w:fill="auto"/>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　</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547.26</w:t>
            </w:r>
          </w:p>
        </w:tc>
        <w:tc>
          <w:tcPr>
            <w:tcW w:w="1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105.50</w:t>
            </w:r>
          </w:p>
        </w:tc>
        <w:tc>
          <w:tcPr>
            <w:tcW w:w="1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6.34</w:t>
            </w:r>
          </w:p>
        </w:tc>
        <w:tc>
          <w:tcPr>
            <w:tcW w:w="1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b/>
                <w:bCs/>
                <w:kern w:val="0"/>
                <w:sz w:val="22"/>
              </w:rPr>
            </w:pPr>
            <w:r>
              <w:rPr>
                <w:rFonts w:hint="default" w:ascii="Times New Roman" w:hAnsi="Times New Roman" w:cs="Times New Roman"/>
                <w:b/>
                <w:bCs/>
                <w:kern w:val="0"/>
                <w:sz w:val="22"/>
              </w:rPr>
              <w:t>435.42</w:t>
            </w:r>
          </w:p>
        </w:tc>
      </w:tr>
      <w:tr>
        <w:tblPrEx>
          <w:tblLayout w:type="fixed"/>
        </w:tblPrEx>
        <w:trPr>
          <w:trHeight w:val="458" w:hRule="atLeast"/>
        </w:trPr>
        <w:tc>
          <w:tcPr>
            <w:tcW w:w="222" w:type="dxa"/>
            <w:tcBorders>
              <w:top w:val="nil"/>
              <w:left w:val="nil"/>
              <w:bottom w:val="single" w:color="FFFFFF" w:sz="4" w:space="0"/>
              <w:right w:val="nil"/>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208</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社会保障和就业支出</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32.41</w:t>
            </w:r>
          </w:p>
        </w:tc>
        <w:tc>
          <w:tcPr>
            <w:tcW w:w="1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32.41</w:t>
            </w:r>
          </w:p>
        </w:tc>
        <w:tc>
          <w:tcPr>
            <w:tcW w:w="1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222" w:type="dxa"/>
            <w:tcBorders>
              <w:top w:val="nil"/>
              <w:left w:val="nil"/>
              <w:bottom w:val="single" w:color="FFFFFF" w:sz="4" w:space="0"/>
              <w:right w:val="nil"/>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05</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行政事业单位养老支出</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28.14</w:t>
            </w:r>
          </w:p>
        </w:tc>
        <w:tc>
          <w:tcPr>
            <w:tcW w:w="1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28.14</w:t>
            </w:r>
          </w:p>
        </w:tc>
        <w:tc>
          <w:tcPr>
            <w:tcW w:w="1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222" w:type="dxa"/>
            <w:vMerge w:val="restart"/>
            <w:tcBorders>
              <w:top w:val="nil"/>
              <w:left w:val="nil"/>
              <w:bottom w:val="single" w:color="FFFFFF" w:sz="4" w:space="0"/>
              <w:right w:val="nil"/>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01</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行政单位离退休</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15.29</w:t>
            </w:r>
          </w:p>
        </w:tc>
        <w:tc>
          <w:tcPr>
            <w:tcW w:w="166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15.29</w:t>
            </w:r>
          </w:p>
        </w:tc>
        <w:tc>
          <w:tcPr>
            <w:tcW w:w="1660" w:type="dxa"/>
            <w:tcBorders>
              <w:top w:val="single" w:color="C0C0C0" w:sz="4" w:space="0"/>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single" w:color="C0C0C0" w:sz="4" w:space="0"/>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222" w:type="dxa"/>
            <w:vMerge w:val="continue"/>
            <w:tcBorders>
              <w:top w:val="nil"/>
              <w:left w:val="nil"/>
              <w:bottom w:val="single" w:color="FFFFFF" w:sz="4" w:space="0"/>
              <w:right w:val="nil"/>
            </w:tcBorders>
            <w:vAlign w:val="center"/>
          </w:tcPr>
          <w:p>
            <w:pPr>
              <w:widowControl/>
              <w:jc w:val="left"/>
              <w:rPr>
                <w:rFonts w:hint="default" w:ascii="Times New Roman" w:hAnsi="Times New Roman" w:cs="Times New Roman"/>
                <w:kern w:val="0"/>
                <w:sz w:val="18"/>
                <w:szCs w:val="18"/>
              </w:rPr>
            </w:pP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05</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机关事业单位基本养老保险缴费支出</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4.85</w:t>
            </w:r>
          </w:p>
        </w:tc>
        <w:tc>
          <w:tcPr>
            <w:tcW w:w="1660" w:type="dxa"/>
            <w:tcBorders>
              <w:top w:val="nil"/>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4.85</w:t>
            </w:r>
          </w:p>
        </w:tc>
        <w:tc>
          <w:tcPr>
            <w:tcW w:w="16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222" w:type="dxa"/>
            <w:vMerge w:val="continue"/>
            <w:tcBorders>
              <w:top w:val="nil"/>
              <w:left w:val="nil"/>
              <w:bottom w:val="single" w:color="FFFFFF" w:sz="4" w:space="0"/>
              <w:right w:val="nil"/>
            </w:tcBorders>
            <w:vAlign w:val="center"/>
          </w:tcPr>
          <w:p>
            <w:pPr>
              <w:widowControl/>
              <w:jc w:val="left"/>
              <w:rPr>
                <w:rFonts w:hint="default" w:ascii="Times New Roman" w:hAnsi="Times New Roman" w:cs="Times New Roman"/>
                <w:kern w:val="0"/>
                <w:sz w:val="18"/>
                <w:szCs w:val="18"/>
              </w:rPr>
            </w:pP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06</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机关事业单位职业年金缴费支出</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8.00</w:t>
            </w:r>
          </w:p>
        </w:tc>
        <w:tc>
          <w:tcPr>
            <w:tcW w:w="1660" w:type="dxa"/>
            <w:tcBorders>
              <w:top w:val="nil"/>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8.00</w:t>
            </w:r>
          </w:p>
        </w:tc>
        <w:tc>
          <w:tcPr>
            <w:tcW w:w="16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222" w:type="dxa"/>
            <w:tcBorders>
              <w:top w:val="nil"/>
              <w:left w:val="nil"/>
              <w:bottom w:val="nil"/>
              <w:right w:val="nil"/>
            </w:tcBorders>
            <w:shd w:val="clear" w:color="auto" w:fill="auto"/>
            <w:vAlign w:val="center"/>
          </w:tcPr>
          <w:p>
            <w:pPr>
              <w:widowControl/>
              <w:jc w:val="left"/>
              <w:rPr>
                <w:rFonts w:hint="default" w:ascii="Times New Roman" w:hAnsi="Times New Roman" w:cs="Times New Roman"/>
                <w:color w:val="000000"/>
                <w:kern w:val="0"/>
                <w:sz w:val="22"/>
              </w:rPr>
            </w:pP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08</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抚恤</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4.27</w:t>
            </w:r>
          </w:p>
        </w:tc>
        <w:tc>
          <w:tcPr>
            <w:tcW w:w="16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4.27</w:t>
            </w:r>
          </w:p>
        </w:tc>
        <w:tc>
          <w:tcPr>
            <w:tcW w:w="16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222" w:type="dxa"/>
            <w:tcBorders>
              <w:top w:val="nil"/>
              <w:left w:val="nil"/>
              <w:bottom w:val="nil"/>
              <w:right w:val="nil"/>
            </w:tcBorders>
            <w:shd w:val="clear" w:color="auto" w:fill="auto"/>
            <w:vAlign w:val="center"/>
          </w:tcPr>
          <w:p>
            <w:pPr>
              <w:widowControl/>
              <w:jc w:val="left"/>
              <w:rPr>
                <w:rFonts w:hint="default" w:ascii="Times New Roman" w:hAnsi="Times New Roman" w:cs="Times New Roman"/>
                <w:color w:val="000000"/>
                <w:kern w:val="0"/>
                <w:sz w:val="22"/>
              </w:rPr>
            </w:pP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99</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其他优抚支出</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4.27</w:t>
            </w:r>
          </w:p>
        </w:tc>
        <w:tc>
          <w:tcPr>
            <w:tcW w:w="166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4.27</w:t>
            </w:r>
          </w:p>
        </w:tc>
        <w:tc>
          <w:tcPr>
            <w:tcW w:w="1660" w:type="dxa"/>
            <w:tcBorders>
              <w:top w:val="single" w:color="C0C0C0" w:sz="4" w:space="0"/>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single" w:color="C0C0C0" w:sz="4" w:space="0"/>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222" w:type="dxa"/>
            <w:tcBorders>
              <w:top w:val="nil"/>
              <w:left w:val="nil"/>
              <w:bottom w:val="nil"/>
              <w:right w:val="nil"/>
            </w:tcBorders>
            <w:shd w:val="clear" w:color="auto" w:fill="auto"/>
            <w:vAlign w:val="center"/>
          </w:tcPr>
          <w:p>
            <w:pPr>
              <w:widowControl/>
              <w:jc w:val="left"/>
              <w:rPr>
                <w:rFonts w:hint="default" w:ascii="Times New Roman" w:hAnsi="Times New Roman" w:cs="Times New Roman"/>
                <w:color w:val="000000"/>
                <w:kern w:val="0"/>
                <w:sz w:val="22"/>
              </w:rPr>
            </w:pP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210</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卫生健康支出</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14.04</w:t>
            </w:r>
          </w:p>
        </w:tc>
        <w:tc>
          <w:tcPr>
            <w:tcW w:w="16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14.04</w:t>
            </w:r>
          </w:p>
        </w:tc>
        <w:tc>
          <w:tcPr>
            <w:tcW w:w="16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222" w:type="dxa"/>
            <w:tcBorders>
              <w:top w:val="single" w:color="FFFFFF" w:sz="4" w:space="0"/>
              <w:left w:val="nil"/>
              <w:bottom w:val="single" w:color="FFFFFF" w:sz="4" w:space="0"/>
              <w:right w:val="nil"/>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11</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行政事业单位医疗</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14.04</w:t>
            </w:r>
          </w:p>
        </w:tc>
        <w:tc>
          <w:tcPr>
            <w:tcW w:w="1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14.04</w:t>
            </w:r>
          </w:p>
        </w:tc>
        <w:tc>
          <w:tcPr>
            <w:tcW w:w="1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222" w:type="dxa"/>
            <w:tcBorders>
              <w:top w:val="nil"/>
              <w:left w:val="nil"/>
              <w:bottom w:val="nil"/>
              <w:right w:val="nil"/>
            </w:tcBorders>
            <w:shd w:val="clear" w:color="auto" w:fill="auto"/>
            <w:vAlign w:val="center"/>
          </w:tcPr>
          <w:p>
            <w:pPr>
              <w:widowControl/>
              <w:jc w:val="left"/>
              <w:rPr>
                <w:rFonts w:hint="default" w:ascii="Times New Roman" w:hAnsi="Times New Roman" w:cs="Times New Roman"/>
                <w:color w:val="000000"/>
                <w:kern w:val="0"/>
                <w:sz w:val="22"/>
              </w:rPr>
            </w:pP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01</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行政单位医疗</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2.58</w:t>
            </w:r>
          </w:p>
        </w:tc>
        <w:tc>
          <w:tcPr>
            <w:tcW w:w="166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2.58</w:t>
            </w:r>
          </w:p>
        </w:tc>
        <w:tc>
          <w:tcPr>
            <w:tcW w:w="1660" w:type="dxa"/>
            <w:tcBorders>
              <w:top w:val="single" w:color="C0C0C0" w:sz="4" w:space="0"/>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single" w:color="C0C0C0" w:sz="4" w:space="0"/>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222" w:type="dxa"/>
            <w:tcBorders>
              <w:top w:val="nil"/>
              <w:left w:val="nil"/>
              <w:bottom w:val="nil"/>
              <w:right w:val="nil"/>
            </w:tcBorders>
            <w:shd w:val="clear" w:color="auto" w:fill="auto"/>
            <w:vAlign w:val="center"/>
          </w:tcPr>
          <w:p>
            <w:pPr>
              <w:widowControl/>
              <w:jc w:val="left"/>
              <w:rPr>
                <w:rFonts w:hint="default" w:ascii="Times New Roman" w:hAnsi="Times New Roman" w:cs="Times New Roman"/>
                <w:color w:val="000000"/>
                <w:kern w:val="0"/>
                <w:sz w:val="22"/>
              </w:rPr>
            </w:pP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03</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公务员医疗补助</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11.47</w:t>
            </w:r>
          </w:p>
        </w:tc>
        <w:tc>
          <w:tcPr>
            <w:tcW w:w="1660" w:type="dxa"/>
            <w:tcBorders>
              <w:top w:val="nil"/>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11.47</w:t>
            </w:r>
          </w:p>
        </w:tc>
        <w:tc>
          <w:tcPr>
            <w:tcW w:w="16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222" w:type="dxa"/>
            <w:tcBorders>
              <w:top w:val="nil"/>
              <w:left w:val="nil"/>
              <w:bottom w:val="nil"/>
              <w:right w:val="nil"/>
            </w:tcBorders>
            <w:shd w:val="clear" w:color="auto" w:fill="auto"/>
            <w:vAlign w:val="center"/>
          </w:tcPr>
          <w:p>
            <w:pPr>
              <w:widowControl/>
              <w:jc w:val="left"/>
              <w:rPr>
                <w:rFonts w:hint="default" w:ascii="Times New Roman" w:hAnsi="Times New Roman" w:cs="Times New Roman"/>
                <w:color w:val="000000"/>
                <w:kern w:val="0"/>
                <w:sz w:val="22"/>
              </w:rPr>
            </w:pP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213</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农林水支出</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496.64</w:t>
            </w:r>
          </w:p>
        </w:tc>
        <w:tc>
          <w:tcPr>
            <w:tcW w:w="16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54.88</w:t>
            </w:r>
          </w:p>
        </w:tc>
        <w:tc>
          <w:tcPr>
            <w:tcW w:w="16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6.34</w:t>
            </w:r>
          </w:p>
        </w:tc>
        <w:tc>
          <w:tcPr>
            <w:tcW w:w="16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435.42</w:t>
            </w:r>
          </w:p>
        </w:tc>
      </w:tr>
      <w:tr>
        <w:tblPrEx>
          <w:tblLayout w:type="fixed"/>
        </w:tblPrEx>
        <w:trPr>
          <w:trHeight w:val="458" w:hRule="atLeast"/>
        </w:trPr>
        <w:tc>
          <w:tcPr>
            <w:tcW w:w="222" w:type="dxa"/>
            <w:tcBorders>
              <w:top w:val="single" w:color="FFFFFF" w:sz="4" w:space="0"/>
              <w:left w:val="nil"/>
              <w:bottom w:val="single" w:color="FFFFFF" w:sz="4" w:space="0"/>
              <w:right w:val="nil"/>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01</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农业农村</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496.64</w:t>
            </w:r>
          </w:p>
        </w:tc>
        <w:tc>
          <w:tcPr>
            <w:tcW w:w="1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54.88</w:t>
            </w:r>
          </w:p>
        </w:tc>
        <w:tc>
          <w:tcPr>
            <w:tcW w:w="1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6.34</w:t>
            </w:r>
          </w:p>
        </w:tc>
        <w:tc>
          <w:tcPr>
            <w:tcW w:w="1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435.42</w:t>
            </w:r>
          </w:p>
        </w:tc>
      </w:tr>
      <w:tr>
        <w:tblPrEx>
          <w:tblLayout w:type="fixed"/>
        </w:tblPrEx>
        <w:trPr>
          <w:trHeight w:val="458" w:hRule="atLeast"/>
        </w:trPr>
        <w:tc>
          <w:tcPr>
            <w:tcW w:w="222" w:type="dxa"/>
            <w:tcBorders>
              <w:top w:val="nil"/>
              <w:left w:val="nil"/>
              <w:bottom w:val="nil"/>
              <w:right w:val="nil"/>
            </w:tcBorders>
            <w:shd w:val="clear" w:color="auto" w:fill="auto"/>
            <w:vAlign w:val="center"/>
          </w:tcPr>
          <w:p>
            <w:pPr>
              <w:widowControl/>
              <w:jc w:val="left"/>
              <w:rPr>
                <w:rFonts w:hint="default" w:ascii="Times New Roman" w:hAnsi="Times New Roman" w:cs="Times New Roman"/>
                <w:color w:val="000000"/>
                <w:kern w:val="0"/>
                <w:sz w:val="22"/>
              </w:rPr>
            </w:pP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01</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行政运行</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74.22</w:t>
            </w:r>
          </w:p>
        </w:tc>
        <w:tc>
          <w:tcPr>
            <w:tcW w:w="166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54.88</w:t>
            </w:r>
          </w:p>
        </w:tc>
        <w:tc>
          <w:tcPr>
            <w:tcW w:w="1660" w:type="dxa"/>
            <w:tcBorders>
              <w:top w:val="single" w:color="C0C0C0" w:sz="4" w:space="0"/>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6.34</w:t>
            </w:r>
          </w:p>
        </w:tc>
        <w:tc>
          <w:tcPr>
            <w:tcW w:w="1660" w:type="dxa"/>
            <w:tcBorders>
              <w:top w:val="single" w:color="C0C0C0" w:sz="4" w:space="0"/>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13.00</w:t>
            </w:r>
          </w:p>
        </w:tc>
      </w:tr>
      <w:tr>
        <w:tblPrEx>
          <w:tblLayout w:type="fixed"/>
        </w:tblPrEx>
        <w:trPr>
          <w:trHeight w:val="458" w:hRule="atLeast"/>
        </w:trPr>
        <w:tc>
          <w:tcPr>
            <w:tcW w:w="222" w:type="dxa"/>
            <w:tcBorders>
              <w:top w:val="nil"/>
              <w:left w:val="nil"/>
              <w:bottom w:val="nil"/>
              <w:right w:val="nil"/>
            </w:tcBorders>
            <w:shd w:val="clear" w:color="auto" w:fill="auto"/>
            <w:vAlign w:val="center"/>
          </w:tcPr>
          <w:p>
            <w:pPr>
              <w:widowControl/>
              <w:jc w:val="left"/>
              <w:rPr>
                <w:rFonts w:hint="default" w:ascii="Times New Roman" w:hAnsi="Times New Roman" w:cs="Times New Roman"/>
                <w:color w:val="000000"/>
                <w:kern w:val="0"/>
                <w:sz w:val="22"/>
              </w:rPr>
            </w:pP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02</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一般行政管理事务</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12.00</w:t>
            </w:r>
          </w:p>
        </w:tc>
        <w:tc>
          <w:tcPr>
            <w:tcW w:w="1660" w:type="dxa"/>
            <w:tcBorders>
              <w:top w:val="nil"/>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12.00</w:t>
            </w:r>
          </w:p>
        </w:tc>
      </w:tr>
      <w:tr>
        <w:tblPrEx>
          <w:tblLayout w:type="fixed"/>
        </w:tblPrEx>
        <w:trPr>
          <w:trHeight w:val="458" w:hRule="atLeast"/>
        </w:trPr>
        <w:tc>
          <w:tcPr>
            <w:tcW w:w="222" w:type="dxa"/>
            <w:tcBorders>
              <w:top w:val="nil"/>
              <w:left w:val="nil"/>
              <w:bottom w:val="nil"/>
              <w:right w:val="nil"/>
            </w:tcBorders>
            <w:shd w:val="clear" w:color="auto" w:fill="auto"/>
            <w:vAlign w:val="center"/>
          </w:tcPr>
          <w:p>
            <w:pPr>
              <w:widowControl/>
              <w:jc w:val="left"/>
              <w:rPr>
                <w:rFonts w:hint="default" w:ascii="Times New Roman" w:hAnsi="Times New Roman" w:cs="Times New Roman"/>
                <w:color w:val="000000"/>
                <w:kern w:val="0"/>
                <w:sz w:val="22"/>
              </w:rPr>
            </w:pP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06</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科技转化与推广服务</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65.00</w:t>
            </w:r>
          </w:p>
        </w:tc>
        <w:tc>
          <w:tcPr>
            <w:tcW w:w="1660" w:type="dxa"/>
            <w:tcBorders>
              <w:top w:val="nil"/>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65.00</w:t>
            </w:r>
          </w:p>
        </w:tc>
      </w:tr>
      <w:tr>
        <w:tblPrEx>
          <w:tblLayout w:type="fixed"/>
        </w:tblPrEx>
        <w:trPr>
          <w:trHeight w:val="458" w:hRule="atLeast"/>
        </w:trPr>
        <w:tc>
          <w:tcPr>
            <w:tcW w:w="222" w:type="dxa"/>
            <w:tcBorders>
              <w:top w:val="nil"/>
              <w:left w:val="nil"/>
              <w:bottom w:val="nil"/>
              <w:right w:val="nil"/>
            </w:tcBorders>
            <w:shd w:val="clear" w:color="auto" w:fill="auto"/>
            <w:vAlign w:val="center"/>
          </w:tcPr>
          <w:p>
            <w:pPr>
              <w:widowControl/>
              <w:jc w:val="left"/>
              <w:rPr>
                <w:rFonts w:hint="default" w:ascii="Times New Roman" w:hAnsi="Times New Roman" w:cs="Times New Roman"/>
                <w:color w:val="000000"/>
                <w:kern w:val="0"/>
                <w:sz w:val="22"/>
              </w:rPr>
            </w:pP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22</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农业生产发展</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340.42</w:t>
            </w:r>
          </w:p>
        </w:tc>
        <w:tc>
          <w:tcPr>
            <w:tcW w:w="1660" w:type="dxa"/>
            <w:tcBorders>
              <w:top w:val="nil"/>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340.42</w:t>
            </w:r>
          </w:p>
        </w:tc>
      </w:tr>
      <w:tr>
        <w:tblPrEx>
          <w:tblLayout w:type="fixed"/>
        </w:tblPrEx>
        <w:trPr>
          <w:trHeight w:val="458" w:hRule="atLeast"/>
        </w:trPr>
        <w:tc>
          <w:tcPr>
            <w:tcW w:w="222" w:type="dxa"/>
            <w:tcBorders>
              <w:top w:val="nil"/>
              <w:left w:val="nil"/>
              <w:bottom w:val="nil"/>
              <w:right w:val="nil"/>
            </w:tcBorders>
            <w:shd w:val="clear" w:color="auto" w:fill="auto"/>
            <w:vAlign w:val="center"/>
          </w:tcPr>
          <w:p>
            <w:pPr>
              <w:widowControl/>
              <w:jc w:val="left"/>
              <w:rPr>
                <w:rFonts w:hint="default" w:ascii="Times New Roman" w:hAnsi="Times New Roman" w:cs="Times New Roman"/>
                <w:color w:val="000000"/>
                <w:kern w:val="0"/>
                <w:sz w:val="22"/>
              </w:rPr>
            </w:pP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99</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其他农业农村支出</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5.00</w:t>
            </w:r>
          </w:p>
        </w:tc>
        <w:tc>
          <w:tcPr>
            <w:tcW w:w="1660" w:type="dxa"/>
            <w:tcBorders>
              <w:top w:val="nil"/>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5.00</w:t>
            </w:r>
          </w:p>
        </w:tc>
      </w:tr>
      <w:tr>
        <w:tblPrEx>
          <w:tblLayout w:type="fixed"/>
        </w:tblPrEx>
        <w:trPr>
          <w:trHeight w:val="458" w:hRule="atLeast"/>
        </w:trPr>
        <w:tc>
          <w:tcPr>
            <w:tcW w:w="222" w:type="dxa"/>
            <w:tcBorders>
              <w:top w:val="nil"/>
              <w:left w:val="nil"/>
              <w:bottom w:val="nil"/>
              <w:right w:val="nil"/>
            </w:tcBorders>
            <w:shd w:val="clear" w:color="auto" w:fill="auto"/>
            <w:vAlign w:val="center"/>
          </w:tcPr>
          <w:p>
            <w:pPr>
              <w:widowControl/>
              <w:jc w:val="left"/>
              <w:rPr>
                <w:rFonts w:hint="default" w:ascii="Times New Roman" w:hAnsi="Times New Roman" w:cs="Times New Roman"/>
                <w:color w:val="000000"/>
                <w:kern w:val="0"/>
                <w:sz w:val="22"/>
              </w:rPr>
            </w:pP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221</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住房保障支出</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4.16</w:t>
            </w:r>
          </w:p>
        </w:tc>
        <w:tc>
          <w:tcPr>
            <w:tcW w:w="16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4.16</w:t>
            </w:r>
          </w:p>
        </w:tc>
        <w:tc>
          <w:tcPr>
            <w:tcW w:w="16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single" w:color="C2C3C4" w:sz="4" w:space="0"/>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222" w:type="dxa"/>
            <w:tcBorders>
              <w:top w:val="single" w:color="FFFFFF" w:sz="4" w:space="0"/>
              <w:left w:val="nil"/>
              <w:bottom w:val="single" w:color="FFFFFF" w:sz="4" w:space="0"/>
              <w:right w:val="nil"/>
            </w:tcBorders>
            <w:shd w:val="clear" w:color="auto" w:fill="auto"/>
            <w:vAlign w:val="center"/>
          </w:tcPr>
          <w:p>
            <w:pPr>
              <w:widowControl/>
              <w:jc w:val="left"/>
              <w:rPr>
                <w:rFonts w:hint="default" w:ascii="Times New Roman" w:hAnsi="Times New Roman" w:cs="Times New Roman"/>
                <w:kern w:val="0"/>
                <w:sz w:val="18"/>
                <w:szCs w:val="18"/>
              </w:rPr>
            </w:pPr>
            <w:r>
              <w:rPr>
                <w:rFonts w:hint="default" w:ascii="Times New Roman" w:hAnsi="Times New Roman" w:cs="Times New Roman"/>
                <w:kern w:val="0"/>
                <w:sz w:val="18"/>
                <w:szCs w:val="18"/>
              </w:rPr>
              <w:t>　</w:t>
            </w: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02</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住房改革支出</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4.16</w:t>
            </w:r>
          </w:p>
        </w:tc>
        <w:tc>
          <w:tcPr>
            <w:tcW w:w="1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4.16</w:t>
            </w:r>
          </w:p>
        </w:tc>
        <w:tc>
          <w:tcPr>
            <w:tcW w:w="1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r>
        <w:tblPrEx>
          <w:tblLayout w:type="fixed"/>
        </w:tblPrEx>
        <w:trPr>
          <w:trHeight w:val="458" w:hRule="atLeast"/>
        </w:trPr>
        <w:tc>
          <w:tcPr>
            <w:tcW w:w="222" w:type="dxa"/>
            <w:tcBorders>
              <w:top w:val="nil"/>
              <w:left w:val="nil"/>
              <w:bottom w:val="nil"/>
              <w:right w:val="nil"/>
            </w:tcBorders>
            <w:shd w:val="clear" w:color="auto" w:fill="auto"/>
            <w:vAlign w:val="center"/>
          </w:tcPr>
          <w:p>
            <w:pPr>
              <w:widowControl/>
              <w:jc w:val="left"/>
              <w:rPr>
                <w:rFonts w:hint="default" w:ascii="Times New Roman" w:hAnsi="Times New Roman" w:cs="Times New Roman"/>
                <w:color w:val="000000"/>
                <w:kern w:val="0"/>
                <w:sz w:val="22"/>
              </w:rPr>
            </w:pPr>
          </w:p>
        </w:tc>
        <w:tc>
          <w:tcPr>
            <w:tcW w:w="1797" w:type="dxa"/>
            <w:tcBorders>
              <w:top w:val="nil"/>
              <w:left w:val="single" w:color="C2C3C4" w:sz="4" w:space="0"/>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40" w:type="dxa"/>
            <w:tcBorders>
              <w:top w:val="nil"/>
              <w:left w:val="nil"/>
              <w:bottom w:val="single" w:color="C2C3C4" w:sz="4" w:space="0"/>
              <w:right w:val="single" w:color="C2C3C4" w:sz="4" w:space="0"/>
            </w:tcBorders>
            <w:shd w:val="clear" w:color="FFFFFF" w:fill="FFFFFF"/>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01</w:t>
            </w:r>
          </w:p>
        </w:tc>
        <w:tc>
          <w:tcPr>
            <w:tcW w:w="3700" w:type="dxa"/>
            <w:tcBorders>
              <w:top w:val="nil"/>
              <w:left w:val="nil"/>
              <w:bottom w:val="single" w:color="C2C3C4" w:sz="4" w:space="0"/>
              <w:right w:val="single" w:color="C2C3C4" w:sz="4" w:space="0"/>
            </w:tcBorders>
            <w:shd w:val="clear" w:color="FFFFFF" w:fill="FFFFFF"/>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住房公积金</w:t>
            </w:r>
          </w:p>
        </w:tc>
        <w:tc>
          <w:tcPr>
            <w:tcW w:w="1780" w:type="dxa"/>
            <w:tcBorders>
              <w:top w:val="nil"/>
              <w:left w:val="nil"/>
              <w:bottom w:val="single" w:color="C2C3C4" w:sz="4" w:space="0"/>
              <w:right w:val="single" w:color="C2C3C4"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4.16</w:t>
            </w:r>
          </w:p>
        </w:tc>
        <w:tc>
          <w:tcPr>
            <w:tcW w:w="1660"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4.16</w:t>
            </w:r>
          </w:p>
        </w:tc>
        <w:tc>
          <w:tcPr>
            <w:tcW w:w="1660" w:type="dxa"/>
            <w:tcBorders>
              <w:top w:val="single" w:color="C0C0C0" w:sz="4" w:space="0"/>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660" w:type="dxa"/>
            <w:tcBorders>
              <w:top w:val="single" w:color="C0C0C0" w:sz="4" w:space="0"/>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r>
    </w:tbl>
    <w:p>
      <w:pPr>
        <w:rPr>
          <w:rFonts w:hint="default" w:ascii="Times New Roman" w:hAnsi="Times New Roman" w:eastAsia="黑体" w:cs="Times New Roman"/>
          <w:sz w:val="32"/>
          <w:szCs w:val="32"/>
        </w:rPr>
      </w:pPr>
    </w:p>
    <w:p>
      <w:pPr>
        <w:tabs>
          <w:tab w:val="left" w:pos="9240"/>
        </w:tabs>
        <w:rPr>
          <w:rFonts w:hint="default" w:ascii="Times New Roman" w:hAnsi="Times New Roman" w:eastAsia="黑体" w:cs="Times New Roman"/>
          <w:sz w:val="32"/>
          <w:szCs w:val="32"/>
        </w:rPr>
      </w:pPr>
    </w:p>
    <w:p>
      <w:pPr>
        <w:tabs>
          <w:tab w:val="left" w:pos="9240"/>
        </w:tabs>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项目支出绩效信息表</w:t>
      </w:r>
    </w:p>
    <w:p>
      <w:pPr>
        <w:tabs>
          <w:tab w:val="left" w:pos="9240"/>
        </w:tabs>
        <w:rPr>
          <w:rFonts w:hint="default" w:ascii="Times New Roman" w:hAnsi="Times New Roman" w:eastAsia="黑体" w:cs="Times New Roman"/>
          <w:sz w:val="32"/>
          <w:szCs w:val="32"/>
        </w:rPr>
      </w:pPr>
    </w:p>
    <w:tbl>
      <w:tblPr>
        <w:tblStyle w:val="5"/>
        <w:tblW w:w="13800" w:type="dxa"/>
        <w:tblInd w:w="93" w:type="dxa"/>
        <w:tblLayout w:type="fixed"/>
        <w:tblCellMar>
          <w:top w:w="0" w:type="dxa"/>
          <w:left w:w="108" w:type="dxa"/>
          <w:bottom w:w="0" w:type="dxa"/>
          <w:right w:w="108" w:type="dxa"/>
        </w:tblCellMar>
      </w:tblPr>
      <w:tblGrid>
        <w:gridCol w:w="2636"/>
        <w:gridCol w:w="955"/>
        <w:gridCol w:w="900"/>
        <w:gridCol w:w="1587"/>
        <w:gridCol w:w="992"/>
        <w:gridCol w:w="1320"/>
        <w:gridCol w:w="1556"/>
        <w:gridCol w:w="508"/>
        <w:gridCol w:w="775"/>
        <w:gridCol w:w="876"/>
        <w:gridCol w:w="656"/>
        <w:gridCol w:w="1039"/>
      </w:tblGrid>
      <w:tr>
        <w:tblPrEx>
          <w:tblLayout w:type="fixed"/>
        </w:tblPrEx>
        <w:trPr>
          <w:trHeight w:val="488" w:hRule="atLeast"/>
        </w:trPr>
        <w:tc>
          <w:tcPr>
            <w:tcW w:w="2636"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项目名称</w:t>
            </w:r>
          </w:p>
        </w:tc>
        <w:tc>
          <w:tcPr>
            <w:tcW w:w="955" w:type="dxa"/>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预算执行率权重（%）</w:t>
            </w:r>
          </w:p>
        </w:tc>
        <w:tc>
          <w:tcPr>
            <w:tcW w:w="900" w:type="dxa"/>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预算数</w:t>
            </w:r>
          </w:p>
        </w:tc>
        <w:tc>
          <w:tcPr>
            <w:tcW w:w="1587" w:type="dxa"/>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绩效目标</w:t>
            </w:r>
          </w:p>
        </w:tc>
        <w:tc>
          <w:tcPr>
            <w:tcW w:w="992" w:type="dxa"/>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一级指标</w:t>
            </w:r>
          </w:p>
        </w:tc>
        <w:tc>
          <w:tcPr>
            <w:tcW w:w="1320" w:type="dxa"/>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二级指标</w:t>
            </w:r>
          </w:p>
        </w:tc>
        <w:tc>
          <w:tcPr>
            <w:tcW w:w="1556" w:type="dxa"/>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三级指标</w:t>
            </w:r>
          </w:p>
        </w:tc>
        <w:tc>
          <w:tcPr>
            <w:tcW w:w="508" w:type="dxa"/>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绩效指标性质</w:t>
            </w:r>
          </w:p>
        </w:tc>
        <w:tc>
          <w:tcPr>
            <w:tcW w:w="775" w:type="dxa"/>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本年绩效指标值</w:t>
            </w:r>
          </w:p>
        </w:tc>
        <w:tc>
          <w:tcPr>
            <w:tcW w:w="876" w:type="dxa"/>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绩效度量单位</w:t>
            </w:r>
          </w:p>
        </w:tc>
        <w:tc>
          <w:tcPr>
            <w:tcW w:w="656" w:type="dxa"/>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本年权重</w:t>
            </w:r>
          </w:p>
        </w:tc>
        <w:tc>
          <w:tcPr>
            <w:tcW w:w="1039" w:type="dxa"/>
            <w:tcBorders>
              <w:top w:val="single" w:color="C2C3C4" w:sz="4" w:space="0"/>
              <w:left w:val="nil"/>
              <w:bottom w:val="single" w:color="C2C3C4" w:sz="4" w:space="0"/>
              <w:right w:val="single" w:color="C2C3C4" w:sz="4" w:space="0"/>
            </w:tcBorders>
            <w:shd w:val="clear" w:color="EFF2F7" w:fill="EFF2F7"/>
            <w:vAlign w:val="center"/>
          </w:tcPr>
          <w:p>
            <w:pPr>
              <w:widowControl/>
              <w:jc w:val="center"/>
              <w:rPr>
                <w:rFonts w:hint="default" w:ascii="Times New Roman" w:hAnsi="Times New Roman" w:cs="Times New Roman"/>
                <w:b/>
                <w:bCs/>
                <w:kern w:val="0"/>
                <w:sz w:val="22"/>
              </w:rPr>
            </w:pPr>
            <w:r>
              <w:rPr>
                <w:rFonts w:hint="default" w:ascii="Times New Roman" w:hAnsi="Times New Roman" w:cs="Times New Roman"/>
                <w:b/>
                <w:bCs/>
                <w:kern w:val="0"/>
                <w:sz w:val="22"/>
              </w:rPr>
              <w:t>指标方向性</w:t>
            </w:r>
          </w:p>
        </w:tc>
      </w:tr>
      <w:tr>
        <w:tblPrEx>
          <w:tblLayout w:type="fixed"/>
        </w:tblPrEx>
        <w:trPr>
          <w:trHeight w:val="855"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46000021R000000006640-工资奖金津补贴</w:t>
            </w:r>
          </w:p>
        </w:tc>
        <w:tc>
          <w:tcPr>
            <w:tcW w:w="955" w:type="dxa"/>
            <w:tcBorders>
              <w:top w:val="single" w:color="C0C0C0" w:sz="4" w:space="0"/>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10.00</w:t>
            </w:r>
          </w:p>
        </w:tc>
        <w:tc>
          <w:tcPr>
            <w:tcW w:w="900" w:type="dxa"/>
            <w:tcBorders>
              <w:top w:val="single" w:color="C0C0C0" w:sz="4" w:space="0"/>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53.01</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严格执行相关政策，保障工资及时发放、足额发放，预算编制科学合理，减少结余资金</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科目调整次数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次</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时效指标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发放及时率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足额保障率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540"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效益指标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经济效益指标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结余率=结余数/预算数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5</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900"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46000021R000000006642-养老保险</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10.00</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4.85</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严格执行相关政策，保障工资及时发放、足额发放，预算编制科学合理，减少结余资金</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效益指标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经济效益指标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结余率=结余数/预算数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5</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时效指标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发放及时率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足额保障率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科目调整次数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次</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855"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46000021R000000006643-职业年金</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10.00</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8.00</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严格执行相关政策，保障工资及时发放、足额发放，预算编制科学合理，减少结余资金</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足额保障率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科目调整次数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次</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效益指标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经济效益指标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结余率=结余数/预算数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5</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时效指标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发放及时率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885"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46000021R000000006644-医疗保险</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10.00</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2.58</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严格执行相关政策，保障工资及时发放、足额发放，预算编制科学合理，减少结余资金</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科目调整次数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次</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效益指标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经济效益指标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结余率=结余数/预算数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5</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足额保障率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时效指标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发放及时率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825"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46000021R000000006645-公务员医疗补助</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10.00</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11.47</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严格执行相关政策，保障工资及时发放、足额发放，预算编制科学合理，减少结余资金</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时效指标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发放及时率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科目调整次数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次</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效益指标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经济效益指标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结余率=结余数/预算数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5</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足额保障率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885"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46000021R000000006646-失业保险</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10.00</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0.15</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严格执行相关政策，保障工资及时发放、足额发放，预算编制科学合理，减少结余资金</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足额保障率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时效指标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发放及时率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效益指标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经济效益指标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结余率=结余数/预算数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5</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科目调整次数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次</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840"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46000021R000000006647-工伤保险</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10.00</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0.06</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严格执行相关政策，保障工资及时发放、足额发放，预算编制科学合理，减少结余资金</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时效指标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发放及时率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效益指标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经济效益指标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结余率=结余数/预算数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5</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足额保障率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科目调整次数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次</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840"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46000021R000000006656-其他工资福利支出</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10.00</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1.66</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严格执行相关政策，保障工资及时发放、足额发放，预算编制科学合理，减少结余资金</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效益指标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经济效益指标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结余率=结余数/预算数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5</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足额保障率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科目调整次数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次</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时效指标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发放及时率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795"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46000021R000000006660-离退休费</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10.00</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15.29</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严格执行相关政策，保障工资及时发放、足额发放，预算编制科学合理，减少结余资金</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效益指标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经济效益指标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结余率=结余数/预算数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5</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足额保障率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时效指标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发放及时率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525"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科目调整次数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次</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855"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46000021R000000006661-遗属生活补助</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10.00</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4.27</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严格执行相关政策，保障工资及时发放、足额发放，预算编制科学合理，减少结余资金</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科目调整次数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次</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时效指标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发放及时率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效益指标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经济效益指标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结余率=结余数/预算数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5</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足额保障率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1065"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46000021R000000006663-住房公积金</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10.00</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4.16</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严格执行相关政策，保障工资及时发放、足额发放，预算编制科学合理，减少结余资金</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足额保障率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效益指标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经济效益指标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结余率=结余数/预算数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5</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时效指标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发放及时率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科目调整次数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次</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945"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46000021Y000000006662-公用支出</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10.00</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6.34</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保障单位日常运转，提高预算编制质量，严格执行预算</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效益指标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经济效益指标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运转保障率</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科目调整次数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次</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质量指标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预算编制质量=∣（执行数-预算数）/预算数∣</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5</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效益指标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经济效益指标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“三公经费控制率”=（实际支出数/预算安排数）×100%</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22.5</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反向指标</w:t>
            </w:r>
          </w:p>
        </w:tc>
      </w:tr>
      <w:tr>
        <w:tblPrEx>
          <w:tblLayout w:type="fixed"/>
        </w:tblPrEx>
        <w:trPr>
          <w:trHeight w:val="1080"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46020021T000000014171-现代农机化促进工程</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10.00</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48.00</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提高农业综合生产能力，改变传统的耕种、收模式，提高工作效率和解放生产力，促进我市社会经济发展和农民增收。</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效益指标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经济效益指标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新农机具宣传推广惠及农户</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5000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人/户</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30</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满意度指标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服务对象满意度指标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广大农民对新农机的认知度</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5000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人/户</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新农机具宣传推广宣传牌标准</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14</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个/套</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50</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1155"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46020021T000000014177-农机购置补贴</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10.00</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130.00</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购置农机具78台、惠及农户60户。</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购置农机具标准</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78</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台/套</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50</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满意度指标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服务对象满意度指标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惠及农户数量</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60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人/户</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20</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效益指标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可持续发展指标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提高广大农户引进新型农机的积极性</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60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20</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915"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46020021Y000000011185-行政运行</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10.00</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12.00</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办公事务运转</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办公事务正常运转</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9.6</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万元</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40</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效益指标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社会效益指标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确保农机宣传工作</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160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人数</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40</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满意度指标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服务对象满意度指标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雇员体检费</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人/年</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1020"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46020022T000000156565-农机安全监管</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10.00</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35.00</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农机驾驶牌证，车辆年检，法律法规安全宣传培训等</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满意度指标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服务对象满意度指标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农机户满意度</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90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效益指标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社会效益指标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农机驾驶牌证业务</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130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人/次</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50</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质量指标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改造办公场所</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座（处）</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10</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r>
        <w:tblPrEx>
          <w:tblLayout w:type="fixed"/>
        </w:tblPrEx>
        <w:trPr>
          <w:trHeight w:val="458" w:hRule="atLeast"/>
        </w:trPr>
        <w:tc>
          <w:tcPr>
            <w:tcW w:w="2636"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55" w:type="dxa"/>
            <w:tcBorders>
              <w:top w:val="nil"/>
              <w:left w:val="single" w:color="C0C0C0" w:sz="4" w:space="0"/>
              <w:bottom w:val="single" w:color="C0C0C0" w:sz="4" w:space="0"/>
              <w:right w:val="single" w:color="C0C0C0" w:sz="4" w:space="0"/>
            </w:tcBorders>
            <w:shd w:val="clear" w:color="auto" w:fill="auto"/>
            <w:vAlign w:val="center"/>
          </w:tcPr>
          <w:p>
            <w:pPr>
              <w:widowControl/>
              <w:jc w:val="center"/>
              <w:rPr>
                <w:rFonts w:hint="default" w:ascii="Times New Roman" w:hAnsi="Times New Roman" w:cs="Times New Roman"/>
                <w:kern w:val="0"/>
                <w:sz w:val="22"/>
              </w:rPr>
            </w:pPr>
            <w:r>
              <w:rPr>
                <w:rFonts w:hint="default" w:ascii="Times New Roman" w:hAnsi="Times New Roman" w:cs="Times New Roman"/>
                <w:kern w:val="0"/>
                <w:sz w:val="22"/>
              </w:rPr>
              <w:t>　</w:t>
            </w:r>
          </w:p>
        </w:tc>
        <w:tc>
          <w:tcPr>
            <w:tcW w:w="900" w:type="dxa"/>
            <w:tcBorders>
              <w:top w:val="nil"/>
              <w:left w:val="nil"/>
              <w:bottom w:val="single" w:color="C0C0C0" w:sz="4" w:space="0"/>
              <w:right w:val="single" w:color="C0C0C0" w:sz="4" w:space="0"/>
            </w:tcBorders>
            <w:shd w:val="clear" w:color="auto" w:fill="auto"/>
            <w:vAlign w:val="center"/>
          </w:tcPr>
          <w:p>
            <w:pPr>
              <w:widowControl/>
              <w:jc w:val="right"/>
              <w:rPr>
                <w:rFonts w:hint="default" w:ascii="Times New Roman" w:hAnsi="Times New Roman" w:cs="Times New Roman"/>
                <w:kern w:val="0"/>
                <w:sz w:val="22"/>
              </w:rPr>
            </w:pPr>
            <w:r>
              <w:rPr>
                <w:rFonts w:hint="default" w:ascii="Times New Roman" w:hAnsi="Times New Roman" w:cs="Times New Roman"/>
                <w:kern w:val="0"/>
                <w:sz w:val="22"/>
              </w:rPr>
              <w:t>　</w:t>
            </w:r>
          </w:p>
        </w:tc>
        <w:tc>
          <w:tcPr>
            <w:tcW w:w="1587" w:type="dxa"/>
            <w:tcBorders>
              <w:top w:val="nil"/>
              <w:left w:val="single" w:color="C2C3C4" w:sz="4" w:space="0"/>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　</w:t>
            </w:r>
          </w:p>
        </w:tc>
        <w:tc>
          <w:tcPr>
            <w:tcW w:w="992"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产出指标</w:t>
            </w:r>
          </w:p>
        </w:tc>
        <w:tc>
          <w:tcPr>
            <w:tcW w:w="1320"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数量指标</w:t>
            </w:r>
          </w:p>
        </w:tc>
        <w:tc>
          <w:tcPr>
            <w:tcW w:w="15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农机安全服装</w:t>
            </w:r>
          </w:p>
        </w:tc>
        <w:tc>
          <w:tcPr>
            <w:tcW w:w="508"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w:t>
            </w:r>
          </w:p>
        </w:tc>
        <w:tc>
          <w:tcPr>
            <w:tcW w:w="775"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500</w:t>
            </w:r>
          </w:p>
        </w:tc>
        <w:tc>
          <w:tcPr>
            <w:tcW w:w="87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每套</w:t>
            </w:r>
          </w:p>
        </w:tc>
        <w:tc>
          <w:tcPr>
            <w:tcW w:w="656"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20</w:t>
            </w:r>
          </w:p>
        </w:tc>
        <w:tc>
          <w:tcPr>
            <w:tcW w:w="1039" w:type="dxa"/>
            <w:tcBorders>
              <w:top w:val="nil"/>
              <w:left w:val="nil"/>
              <w:bottom w:val="single" w:color="C2C3C4" w:sz="4" w:space="0"/>
              <w:right w:val="single" w:color="C2C3C4" w:sz="4" w:space="0"/>
            </w:tcBorders>
            <w:shd w:val="clear" w:color="auto" w:fill="auto"/>
            <w:vAlign w:val="center"/>
          </w:tcPr>
          <w:p>
            <w:pPr>
              <w:widowControl/>
              <w:jc w:val="left"/>
              <w:rPr>
                <w:rFonts w:hint="default" w:ascii="Times New Roman" w:hAnsi="Times New Roman" w:cs="Times New Roman"/>
                <w:kern w:val="0"/>
                <w:sz w:val="22"/>
              </w:rPr>
            </w:pPr>
            <w:r>
              <w:rPr>
                <w:rFonts w:hint="default" w:ascii="Times New Roman" w:hAnsi="Times New Roman" w:cs="Times New Roman"/>
                <w:kern w:val="0"/>
                <w:sz w:val="22"/>
              </w:rPr>
              <w:t>正向指标</w:t>
            </w:r>
          </w:p>
        </w:tc>
      </w:tr>
    </w:tbl>
    <w:p>
      <w:pPr>
        <w:rPr>
          <w:rFonts w:hint="default" w:ascii="Times New Roman" w:hAnsi="Times New Roman" w:eastAsia="黑体" w:cs="Times New Roman"/>
          <w:sz w:val="32"/>
          <w:szCs w:val="32"/>
        </w:rPr>
        <w:sectPr>
          <w:pgSz w:w="16838" w:h="11906" w:orient="landscape"/>
          <w:pgMar w:top="1800" w:right="1440" w:bottom="1249" w:left="1440" w:header="851" w:footer="992" w:gutter="0"/>
          <w:cols w:space="720" w:num="1"/>
          <w:docGrid w:type="lines" w:linePitch="312" w:charSpace="0"/>
        </w:sectPr>
      </w:pPr>
    </w:p>
    <w:p>
      <w:pPr>
        <w:rPr>
          <w:rFonts w:hint="default" w:ascii="Times New Roman" w:hAnsi="Times New Roman" w:eastAsia="黑体" w:cs="Times New Roman"/>
          <w:sz w:val="32"/>
          <w:szCs w:val="32"/>
        </w:rPr>
      </w:pP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第三部分   三亚市农业机械化管理局2022年单位预算情况说明</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一、关于三亚市农业机械化管理局单位2022年财政拨款收支预算情况的总体说明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农业机械化管理局单位2022年财政拨款收支总预算547.26万元。其中，收入总计547.26万元，包括一般公共预算本年收入336.84万元、上年结转210.42万元，政府性基金预算本年收入0万元、上年结转0万元；支出总计547.26万元，包括一般公共服务支出547.26万元，结转下年0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二、关于三亚市农业机械化管理局单位</w:t>
      </w:r>
      <w:r>
        <w:rPr>
          <w:rFonts w:hint="default" w:ascii="Times New Roman" w:hAnsi="Times New Roman" w:eastAsia="仿宋_GB2312" w:cs="Times New Roman"/>
          <w:sz w:val="32"/>
          <w:szCs w:val="32"/>
        </w:rPr>
        <w:t>2022</w:t>
      </w:r>
      <w:r>
        <w:rPr>
          <w:rFonts w:hint="default" w:ascii="Times New Roman" w:hAnsi="Times New Roman" w:eastAsia="黑体" w:cs="Times New Roman"/>
          <w:sz w:val="32"/>
          <w:szCs w:val="32"/>
        </w:rPr>
        <w:t>年一般公共预算当年拨款情况说明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三亚市农业机械化管理局单位2022年一般公共预算当年拨款547.26万元，比上年预算数增加272.96万元，主要是项目增加及上年项目结转。</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一般公共服务（类）支出547.26万元，占100%；外交（类）支出0万元，占0%；教育（类）支出0万元，占0%；科学技术（类）支出0万元，占0%。</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社会保障和就业支出（类）行政事业单位养老支出（款）行政单位离退休（项）2022年预算数为15.29万元，比上年增加0.01万元，主要是离退休费增加。事业单位养老保险支出（项）2022年预算数为4.85万元，比上年增加1.99万元，主要是新增三名人员增加养老保险预算。机关事业单位职业年金缴费支出8万元，比上年增加8万元，主要是2022年有退休人员。</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2.抚恤（款）其他优抚支出（项）2022年预算数为4.27万元，比上年增加0.43万元。主要是抚恤经费增加。</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 卫生健康支出（类）行政事业单位医疗（款）行政单位医疗（项）2022年预算数为2.58万元，比上年增加1.06万元，主要是新增三名人员增加医疗保险预算。公务员医疗补助（项）2022年预算数为11.47，比上年增加1.45万元，主要是新增三名人员增加公务员医疗补助预算。</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 农林水支出（类）农业农村（款）行政运行（项）2022年预算数为74.22万元，比上年减少14.13万元，主要是项目结转。一般行政管理事务（项）2022年预算数为12万元，比上年增加12万元。主要是项目增加。科技转化与推广服务（项）2022年预算数为65万元，主要是项目增加。农业生产发展（项）2022年预算数为340.42，比上年增加220.42万元，主要是项目增加及上年项目结转。其他农业农村支出（项）2022年预算数为5万元，主要是项目增加。</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 住房保障支出（类）住房改革支出（款）住房公积金（项）2022年预算数为4.16万元，比上年增加1.74万元，主要是住房公积金预算增加。</w:t>
      </w:r>
    </w:p>
    <w:p>
      <w:pPr>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三、关于三亚市农业机械化管理局单位</w:t>
      </w:r>
      <w:r>
        <w:rPr>
          <w:rFonts w:hint="default" w:ascii="Times New Roman" w:hAnsi="Times New Roman" w:eastAsia="仿宋_GB2312" w:cs="Times New Roman"/>
          <w:sz w:val="32"/>
          <w:szCs w:val="32"/>
        </w:rPr>
        <w:t>2022</w:t>
      </w:r>
      <w:r>
        <w:rPr>
          <w:rFonts w:hint="default" w:ascii="Times New Roman" w:hAnsi="Times New Roman" w:eastAsia="黑体" w:cs="Times New Roman"/>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三亚市农业机械化管理局单位2022年一般公共预算基本支出为111.84万元，其中：</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105.5万元，主要包括：基本工资12.01万元、津贴补贴20.15万元、奖金17.34万元、机关事业单位基本养老保险缴费4.85万元、城镇职工基本医疗保险缴费2.58万元、公务员医疗补助缴费11.47万元、其他社会保障缴费0.21万元、住房公积金4.16万元、医疗费1.66万元、商品和服务支出3.5万元、邮电费0.38万元、其他交通费用3.12万元、对个人和家庭离的补助19.56万元、离休费15.29万元、生活补助4.27万元;</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公用经费6.34万元，主要包括：其他社会保障缴费0.8万元、商品和服务支出5.54万元、办公费1.02万元、培训费0.14万元、工会经费0.69万元、福利费0.04万元、公务用车运行维护费1.65万元、其他商品和服务支出2万元。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zCs w:val="32"/>
        </w:rPr>
        <w:t>三亚市农业机械化管理局</w:t>
      </w:r>
      <w:r>
        <w:rPr>
          <w:rFonts w:hint="default" w:ascii="Times New Roman" w:hAnsi="Times New Roman" w:eastAsia="黑体" w:cs="Times New Roman"/>
          <w:sz w:val="32"/>
          <w:shd w:val="clear" w:color="auto" w:fill="FFFFFF"/>
        </w:rPr>
        <w:t>单位2022</w:t>
      </w:r>
      <w:r>
        <w:rPr>
          <w:rFonts w:hint="default" w:ascii="Times New Roman" w:hAnsi="Times New Roman" w:eastAsia="黑体" w:cs="Times New Roman"/>
          <w:sz w:val="32"/>
          <w:shd w:val="clear" w:color="auto" w:fill="FFFFFF"/>
        </w:rPr>
        <w:t>年“三公”经费预算情况</w:t>
      </w:r>
      <w:r>
        <w:rPr>
          <w:rFonts w:hint="default" w:ascii="Times New Roman" w:hAnsi="Times New Roman" w:eastAsia="黑体" w:cs="Times New Roman"/>
          <w:sz w:val="32"/>
          <w:shd w:val="clear" w:color="auto" w:fill="FFFFFF"/>
        </w:rPr>
        <w:t>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（一）三亚市农业机械化管理局单位2022年一般公共预算“三公”经费预算数为1.65万元，其中：</w:t>
      </w:r>
    </w:p>
    <w:p>
      <w:pPr>
        <w:ind w:firstLine="63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，与</w:t>
      </w:r>
      <w:r>
        <w:rPr>
          <w:rFonts w:hint="default" w:ascii="Times New Roman" w:hAnsi="Times New Roman" w:eastAsia="仿宋_GB2312" w:cs="Times New Roman"/>
          <w:sz w:val="32"/>
          <w:shd w:val="clear" w:color="auto" w:fill="FFFFFF"/>
        </w:rPr>
        <w:t>上</w:t>
      </w:r>
      <w:r>
        <w:rPr>
          <w:rFonts w:hint="default" w:ascii="Times New Roman" w:hAnsi="Times New Roman" w:eastAsia="仿宋_GB2312" w:cs="Times New Roman"/>
          <w:sz w:val="32"/>
          <w:shd w:val="clear" w:color="auto" w:fill="FFFFFF"/>
        </w:rPr>
        <w:t>年预算持平</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rPr>
        <w:t>1.65万元（其中，</w:t>
      </w:r>
      <w:r>
        <w:rPr>
          <w:rFonts w:hint="default" w:ascii="Times New Roman" w:hAnsi="Times New Roman" w:eastAsia="仿宋_GB2312" w:cs="Times New Roman"/>
          <w:sz w:val="32"/>
          <w:shd w:val="clear" w:color="auto" w:fill="FFFFFF"/>
        </w:rPr>
        <w:t>公务用车购置</w:t>
      </w:r>
      <w:r>
        <w:rPr>
          <w:rFonts w:hint="default" w:ascii="Times New Roman" w:hAnsi="Times New Roman" w:eastAsia="仿宋_GB2312" w:cs="Times New Roman"/>
          <w:sz w:val="32"/>
          <w:shd w:val="clear" w:color="auto" w:fill="FFFFFF"/>
        </w:rPr>
        <w:t>费</w:t>
      </w:r>
      <w:r>
        <w:rPr>
          <w:rFonts w:hint="default" w:ascii="Times New Roman" w:hAnsi="Times New Roman" w:eastAsia="仿宋_GB2312" w:cs="Times New Roman"/>
          <w:sz w:val="32"/>
          <w:szCs w:val="32"/>
        </w:rPr>
        <w:t>0万元</w:t>
      </w:r>
      <w:r>
        <w:rPr>
          <w:rFonts w:hint="default" w:ascii="Times New Roman" w:hAnsi="Times New Roman" w:eastAsia="仿宋_GB2312" w:cs="Times New Roman"/>
          <w:sz w:val="32"/>
          <w:shd w:val="clear" w:color="auto" w:fill="FFFFFF"/>
        </w:rPr>
        <w:t>，公务用车</w:t>
      </w:r>
      <w:r>
        <w:rPr>
          <w:rFonts w:hint="default" w:ascii="Times New Roman" w:hAnsi="Times New Roman" w:eastAsia="仿宋_GB2312" w:cs="Times New Roman"/>
          <w:sz w:val="32"/>
          <w:shd w:val="clear" w:color="auto" w:fill="FFFFFF"/>
        </w:rPr>
        <w:t>运行费</w:t>
      </w:r>
      <w:r>
        <w:rPr>
          <w:rFonts w:hint="default" w:ascii="Times New Roman" w:hAnsi="Times New Roman" w:eastAsia="仿宋_GB2312" w:cs="Times New Roman"/>
          <w:sz w:val="32"/>
          <w:szCs w:val="32"/>
        </w:rPr>
        <w:t>1.65万元）</w:t>
      </w:r>
      <w:r>
        <w:rPr>
          <w:rFonts w:hint="default" w:ascii="Times New Roman" w:hAnsi="Times New Roman" w:eastAsia="仿宋_GB2312" w:cs="Times New Roman"/>
          <w:sz w:val="32"/>
          <w:shd w:val="clear" w:color="auto" w:fill="FFFFFF"/>
        </w:rPr>
        <w:t>，与</w:t>
      </w:r>
      <w:r>
        <w:rPr>
          <w:rFonts w:hint="default" w:ascii="Times New Roman" w:hAnsi="Times New Roman" w:eastAsia="仿宋_GB2312" w:cs="Times New Roman"/>
          <w:sz w:val="32"/>
          <w:shd w:val="clear" w:color="auto" w:fill="FFFFFF"/>
        </w:rPr>
        <w:t>上</w:t>
      </w:r>
      <w:r>
        <w:rPr>
          <w:rFonts w:hint="default" w:ascii="Times New Roman" w:hAnsi="Times New Roman" w:eastAsia="仿宋_GB2312" w:cs="Times New Roman"/>
          <w:sz w:val="32"/>
          <w:shd w:val="clear" w:color="auto" w:fill="FFFFFF"/>
        </w:rPr>
        <w:t>年预算持平</w:t>
      </w:r>
      <w:r>
        <w:rPr>
          <w:rFonts w:hint="default" w:ascii="Times New Roman" w:hAnsi="Times New Roman" w:eastAsia="仿宋_GB2312" w:cs="Times New Roman"/>
          <w:sz w:val="32"/>
          <w:shd w:val="clear" w:color="auto" w:fill="FFFFFF"/>
        </w:rPr>
        <w:t>；公务车保有量</w:t>
      </w:r>
      <w:r>
        <w:rPr>
          <w:rFonts w:hint="default" w:ascii="Times New Roman" w:hAnsi="Times New Roman" w:eastAsia="仿宋_GB2312" w:cs="Times New Roman"/>
          <w:sz w:val="32"/>
          <w:szCs w:val="32"/>
        </w:rPr>
        <w:t>1辆，公务接待费0</w:t>
      </w:r>
      <w:r>
        <w:rPr>
          <w:rFonts w:hint="default" w:ascii="Times New Roman" w:hAnsi="Times New Roman" w:eastAsia="仿宋_GB2312" w:cs="Times New Roman"/>
          <w:sz w:val="32"/>
          <w:shd w:val="clear" w:color="auto" w:fill="FFFFFF"/>
        </w:rPr>
        <w:t>万元，与</w:t>
      </w:r>
      <w:r>
        <w:rPr>
          <w:rFonts w:hint="default" w:ascii="Times New Roman" w:hAnsi="Times New Roman" w:eastAsia="仿宋_GB2312" w:cs="Times New Roman"/>
          <w:sz w:val="32"/>
          <w:shd w:val="clear" w:color="auto" w:fill="FFFFFF"/>
        </w:rPr>
        <w:t>上</w:t>
      </w:r>
      <w:r>
        <w:rPr>
          <w:rFonts w:hint="default" w:ascii="Times New Roman" w:hAnsi="Times New Roman" w:eastAsia="仿宋_GB2312" w:cs="Times New Roman"/>
          <w:sz w:val="32"/>
          <w:shd w:val="clear" w:color="auto" w:fill="FFFFFF"/>
        </w:rPr>
        <w:t>年预算持平</w:t>
      </w:r>
      <w:r>
        <w:rPr>
          <w:rFonts w:hint="default" w:ascii="Times New Roman" w:hAnsi="Times New Roman" w:eastAsia="仿宋_GB2312" w:cs="Times New Roman"/>
          <w:sz w:val="32"/>
          <w:shd w:val="clear" w:color="auto" w:fill="FFFFFF"/>
        </w:rPr>
        <w:t>。</w:t>
      </w:r>
    </w:p>
    <w:p>
      <w:pPr>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zCs w:val="32"/>
        </w:rPr>
        <w:t>（二）三亚市农业机械化管理局单位2022年政府性基金预算“三公”经费预算数为0万元，</w:t>
      </w:r>
      <w:r>
        <w:rPr>
          <w:rFonts w:hint="default" w:ascii="Times New Roman" w:hAnsi="Times New Roman" w:eastAsia="仿宋_GB2312" w:cs="Times New Roman"/>
          <w:sz w:val="32"/>
          <w:shd w:val="clear" w:color="auto" w:fill="FFFFFF"/>
        </w:rPr>
        <w:t>与</w:t>
      </w:r>
      <w:r>
        <w:rPr>
          <w:rFonts w:hint="default" w:ascii="Times New Roman" w:hAnsi="Times New Roman" w:eastAsia="仿宋_GB2312" w:cs="Times New Roman"/>
          <w:sz w:val="32"/>
          <w:shd w:val="clear" w:color="auto" w:fill="FFFFFF"/>
        </w:rPr>
        <w:t>上</w:t>
      </w:r>
      <w:r>
        <w:rPr>
          <w:rFonts w:hint="default" w:ascii="Times New Roman" w:hAnsi="Times New Roman" w:eastAsia="仿宋_GB2312" w:cs="Times New Roman"/>
          <w:sz w:val="32"/>
          <w:shd w:val="clear" w:color="auto" w:fill="FFFFFF"/>
        </w:rPr>
        <w:t>年预算持平</w:t>
      </w:r>
      <w:r>
        <w:rPr>
          <w:rFonts w:hint="default" w:ascii="Times New Roman" w:hAnsi="Times New Roman" w:eastAsia="仿宋_GB2312" w:cs="Times New Roman"/>
          <w:sz w:val="32"/>
          <w:shd w:val="clear" w:color="auto" w:fill="FFFFFF"/>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zCs w:val="32"/>
        </w:rPr>
        <w:t>三亚市农业机械化管理局</w:t>
      </w:r>
      <w:r>
        <w:rPr>
          <w:rFonts w:hint="default" w:ascii="Times New Roman" w:hAnsi="Times New Roman" w:eastAsia="黑体" w:cs="Times New Roman"/>
          <w:sz w:val="32"/>
          <w:shd w:val="clear" w:color="auto" w:fill="FFFFFF"/>
        </w:rPr>
        <w:t>单位2022</w:t>
      </w:r>
      <w:r>
        <w:rPr>
          <w:rFonts w:hint="default" w:ascii="Times New Roman" w:hAnsi="Times New Roman" w:eastAsia="黑体" w:cs="Times New Roman"/>
          <w:sz w:val="32"/>
          <w:shd w:val="clear" w:color="auto" w:fill="FFFFFF"/>
        </w:rPr>
        <w:t>年</w:t>
      </w:r>
      <w:r>
        <w:rPr>
          <w:rFonts w:hint="default" w:ascii="Times New Roman" w:hAnsi="Times New Roman" w:eastAsia="黑体" w:cs="Times New Roman"/>
          <w:sz w:val="32"/>
          <w:shd w:val="clear" w:color="auto" w:fill="FFFFFF"/>
        </w:rPr>
        <w:t>政府性基金预算当年拨款情况说明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三亚市农业机械化管理局单位2022年政府性基金预算当年拨款0万元，与上年预算数持平。</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科学技术支出（类）支出0万元，与上年预算数持平。</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科学技术支出（类）核电站乏燃料处理处置基金支出（款）乏燃料运输（项）2022年预算数为0万元，与上年预算数持平。</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科学技术支出（类）核电站乏燃料处理处置基金支出（款）乏燃料离堆贮存（项）2022年预算数为0万元，比与上年预算数持平。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zCs w:val="32"/>
        </w:rPr>
        <w:t>三亚市农业机械化管理局</w:t>
      </w:r>
      <w:r>
        <w:rPr>
          <w:rFonts w:hint="default" w:ascii="Times New Roman" w:hAnsi="Times New Roman" w:eastAsia="黑体" w:cs="Times New Roman"/>
          <w:sz w:val="32"/>
          <w:shd w:val="clear" w:color="auto" w:fill="FFFFFF"/>
        </w:rPr>
        <w:t>单位2022</w:t>
      </w:r>
      <w:r>
        <w:rPr>
          <w:rFonts w:hint="default" w:ascii="Times New Roman" w:hAnsi="Times New Roman" w:eastAsia="黑体" w:cs="Times New Roman"/>
          <w:sz w:val="32"/>
          <w:shd w:val="clear" w:color="auto" w:fill="FFFFFF"/>
        </w:rPr>
        <w:t>年</w:t>
      </w:r>
      <w:r>
        <w:rPr>
          <w:rFonts w:hint="default" w:ascii="Times New Roman" w:hAnsi="Times New Roman" w:eastAsia="黑体" w:cs="Times New Roman"/>
          <w:sz w:val="32"/>
          <w:shd w:val="clear" w:color="auto" w:fill="FFFFFF"/>
        </w:rPr>
        <w:t>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按照综合预算原则，三亚市农业机械化管理局单位所有收入和支出均纳入</w:t>
      </w: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预算管理。收入包括：一般公共预算收入</w:t>
      </w:r>
      <w:r>
        <w:rPr>
          <w:rFonts w:hint="default" w:ascii="Times New Roman" w:hAnsi="Times New Roman" w:eastAsia="仿宋_GB2312" w:cs="Times New Roman"/>
          <w:sz w:val="32"/>
          <w:szCs w:val="32"/>
          <w:lang w:eastAsia="zh-CN"/>
        </w:rPr>
        <w:t>、上年结转</w:t>
      </w:r>
      <w:r>
        <w:rPr>
          <w:rFonts w:hint="default" w:ascii="Times New Roman" w:hAnsi="Times New Roman" w:eastAsia="仿宋_GB2312" w:cs="Times New Roman"/>
          <w:sz w:val="32"/>
          <w:szCs w:val="32"/>
        </w:rPr>
        <w:t>；支出包括：社会保障和就业支出、卫生健康支出、农林水支出、住房保障支出。三亚市农业机械化管理局单位2022收支总预算547.26万元。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default" w:ascii="Times New Roman" w:hAnsi="Times New Roman" w:eastAsia="黑体" w:cs="Times New Roman"/>
          <w:sz w:val="32"/>
          <w:szCs w:val="32"/>
        </w:rPr>
        <w:t>三亚市农业机械化管理局</w:t>
      </w:r>
      <w:r>
        <w:rPr>
          <w:rFonts w:hint="default" w:ascii="Times New Roman" w:hAnsi="Times New Roman" w:eastAsia="黑体" w:cs="Times New Roman"/>
          <w:sz w:val="32"/>
          <w:shd w:val="clear" w:color="auto" w:fill="FFFFFF"/>
        </w:rPr>
        <w:t>单位2022</w:t>
      </w:r>
      <w:r>
        <w:rPr>
          <w:rFonts w:hint="default" w:ascii="Times New Roman" w:hAnsi="Times New Roman" w:eastAsia="黑体" w:cs="Times New Roman"/>
          <w:sz w:val="32"/>
          <w:shd w:val="clear" w:color="auto" w:fill="FFFFFF"/>
        </w:rPr>
        <w:t>年</w:t>
      </w:r>
      <w:r>
        <w:rPr>
          <w:rFonts w:hint="default" w:ascii="Times New Roman" w:hAnsi="Times New Roman" w:eastAsia="黑体" w:cs="Times New Roman"/>
          <w:sz w:val="32"/>
          <w:shd w:val="clear" w:color="auto" w:fill="FFFFFF"/>
        </w:rPr>
        <w:t>收入预算情况说明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农业机械化管理局单位2022年收入预算547.26万元，其中：上年结转210.42万元，占38.44%；经费拨款收入336.84万元，占61.56%；政府性基金收入0万元，占0%；专项收入0万元，占0%。比上年预算数增加272.96万元，主要是项目增加及上年项目结转。</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default" w:ascii="Times New Roman" w:hAnsi="Times New Roman" w:eastAsia="黑体" w:cs="Times New Roman"/>
          <w:sz w:val="32"/>
          <w:szCs w:val="32"/>
        </w:rPr>
        <w:t>三亚市农业机械化管理局</w:t>
      </w:r>
      <w:r>
        <w:rPr>
          <w:rFonts w:hint="default" w:ascii="Times New Roman" w:hAnsi="Times New Roman" w:eastAsia="黑体" w:cs="Times New Roman"/>
          <w:sz w:val="32"/>
          <w:shd w:val="clear" w:color="auto" w:fill="FFFFFF"/>
        </w:rPr>
        <w:t>单位2022</w:t>
      </w:r>
      <w:r>
        <w:rPr>
          <w:rFonts w:hint="default" w:ascii="Times New Roman" w:hAnsi="Times New Roman" w:eastAsia="黑体" w:cs="Times New Roman"/>
          <w:sz w:val="32"/>
          <w:shd w:val="clear" w:color="auto" w:fill="FFFFFF"/>
        </w:rPr>
        <w:t>年</w:t>
      </w:r>
      <w:r>
        <w:rPr>
          <w:rFonts w:hint="default" w:ascii="Times New Roman" w:hAnsi="Times New Roman" w:eastAsia="黑体" w:cs="Times New Roman"/>
          <w:sz w:val="32"/>
          <w:shd w:val="clear" w:color="auto" w:fill="FFFFFF"/>
        </w:rPr>
        <w:t>支出预算情况说明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三亚市农业机械化管理局单位2022年支出预算547.26万元，其中：基本支出111.84万元，占20.43%；项目支出435.42万元，占79.57%。比上年预算数增加272.96万元，主要是项目增加及上年项目结转。</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2022年三亚市农业机械化管理局单位（公开部门预算时罗列下属参照公务员法管理的事业单位）等的机关运行经费预算13万元。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2022年三亚市农业机械化管理局单位政府采购预算总额0万元，其中：政府采购货物预算0万元，政府采购工程预算0万元，政府采购服务预算0万元。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截至2021年12月31日，三亚市农业机械化管理局单位本级及下属各预算单位共有车辆1辆，其中，其他用车1辆。单位价值100万元以上设备0台（套）。</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2022年三亚市农业机械化管理局单位16个项目实行绩效目标管理，涉及一般公共预算111.83万元。</w:t>
      </w:r>
    </w:p>
    <w:p>
      <w:pPr>
        <w:jc w:val="center"/>
        <w:rPr>
          <w:rFonts w:hint="default" w:ascii="Times New Roman" w:hAnsi="Times New Roman" w:eastAsia="黑体" w:cs="Times New Roman"/>
          <w:sz w:val="32"/>
          <w:szCs w:val="32"/>
        </w:rPr>
      </w:pPr>
    </w:p>
    <w:p>
      <w:pPr>
        <w:jc w:val="left"/>
        <w:rPr>
          <w:rFonts w:hint="default" w:ascii="Times New Roman" w:hAnsi="Times New Roman" w:eastAsia="仿宋_GB2312"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bCs/>
          <w:color w:val="000000"/>
          <w:kern w:val="0"/>
          <w:sz w:val="32"/>
          <w:szCs w:val="32"/>
          <w:lang w:val="zh-CN"/>
        </w:rPr>
      </w:pP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rPr>
      </w:pP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0" w:usb1="00000000" w:usb2="00000000" w:usb3="00000000" w:csb0="00040000" w:csb1="00000000"/>
  </w:font>
  <w:font w:name="Hiragino Sans GB">
    <w:altName w:val="Times New Roman"/>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00000000" w:usb1="00000000" w:usb2="00000016" w:usb3="00000000" w:csb0="00040001" w:csb1="00000000"/>
  </w:font>
  <w:font w:name="微软简标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AA&#10;">
          <v:path/>
          <v:fill on="f" focussize="0,0"/>
          <v:stroke on="f" weight="0.5pt" joinstyle="miter"/>
          <v:imagedata o:title=""/>
          <o:lock v:ext="edit"/>
          <v:textbox inset="0mm,0mm,0mm,0mm" style="mso-fit-shape-to-text:t;">
            <w:txbxContent>
              <w:p>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24</w:t>
                </w:r>
                <w:r>
                  <w:rPr>
                    <w:rFonts w:hint="eastAsia"/>
                    <w:sz w:val="18"/>
                  </w:rPr>
                  <w:fldChar w:fldCharType="end"/>
                </w:r>
                <w:r>
                  <w:rPr>
                    <w:rFonts w:hint="eastAsia"/>
                    <w:sz w:val="18"/>
                  </w:rPr>
                  <w:t xml:space="preserve"> 页 共 </w:t>
                </w:r>
                <w:r>
                  <w:fldChar w:fldCharType="begin"/>
                </w:r>
                <w:r>
                  <w:instrText xml:space="preserve"> NUMPAGES  \* MERGEFORMAT </w:instrText>
                </w:r>
                <w:r>
                  <w:fldChar w:fldCharType="separate"/>
                </w:r>
                <w:r>
                  <w:rPr>
                    <w:sz w:val="18"/>
                  </w:rPr>
                  <w:t>30</w:t>
                </w:r>
                <w:r>
                  <w:rPr>
                    <w:sz w:val="18"/>
                  </w:rPr>
                  <w:fldChar w:fldCharType="end"/>
                </w:r>
                <w:r>
                  <w:rPr>
                    <w:rFonts w:hint="eastAsia"/>
                    <w:sz w:val="18"/>
                  </w:rPr>
                  <w:t xml:space="preserve"> 页</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0515B65"/>
    <w:multiLevelType w:val="singleLevel"/>
    <w:tmpl w:val="60515B65"/>
    <w:lvl w:ilvl="0" w:tentative="0">
      <w:start w:val="1"/>
      <w:numFmt w:val="chineseCounting"/>
      <w:suff w:val="nothing"/>
      <w:lvlText w:val="%1、"/>
      <w:lvlJc w:val="left"/>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列出段落1"/>
    <w:basedOn w:val="1"/>
    <w:qFormat/>
    <w:uiPriority w:val="34"/>
    <w:pPr>
      <w:ind w:firstLine="420" w:firstLineChars="200"/>
    </w:pPr>
  </w:style>
  <w:style w:type="character" w:customStyle="1" w:styleId="7">
    <w:name w:val="font31"/>
    <w:basedOn w:val="4"/>
    <w:qFormat/>
    <w:uiPriority w:val="0"/>
    <w:rPr>
      <w:rFonts w:hint="eastAsia" w:ascii="宋体" w:hAnsi="宋体" w:eastAsia="宋体" w:cs="宋体"/>
      <w:color w:val="000000"/>
      <w:sz w:val="22"/>
      <w:szCs w:val="22"/>
      <w:u w:val="none"/>
    </w:rPr>
  </w:style>
  <w:style w:type="character" w:customStyle="1" w:styleId="8">
    <w:name w:val="font11"/>
    <w:basedOn w:val="4"/>
    <w:qFormat/>
    <w:uiPriority w:val="0"/>
    <w:rPr>
      <w:rFonts w:hint="eastAsia" w:ascii="宋体" w:hAnsi="宋体" w:eastAsia="宋体" w:cs="宋体"/>
      <w:color w:val="000000"/>
      <w:sz w:val="22"/>
      <w:szCs w:val="22"/>
      <w:u w:val="none"/>
    </w:rPr>
  </w:style>
  <w:style w:type="character" w:customStyle="1" w:styleId="9">
    <w:name w:val="font41"/>
    <w:basedOn w:val="4"/>
    <w:qFormat/>
    <w:uiPriority w:val="0"/>
    <w:rPr>
      <w:rFonts w:hint="eastAsia" w:ascii="宋体" w:hAnsi="宋体" w:eastAsia="宋体" w:cs="宋体"/>
      <w:color w:val="000000"/>
      <w:sz w:val="22"/>
      <w:szCs w:val="22"/>
      <w:u w:val="none"/>
    </w:rPr>
  </w:style>
  <w:style w:type="character" w:customStyle="1" w:styleId="10">
    <w:name w:val="font21"/>
    <w:basedOn w:val="4"/>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30</Pages>
  <Words>7937</Words>
  <Characters>4829</Characters>
  <Lines>40</Lines>
  <Paragraphs>25</Paragraphs>
  <TotalTime>0</TotalTime>
  <ScaleCrop>false</ScaleCrop>
  <LinksUpToDate>false</LinksUpToDate>
  <CharactersWithSpaces>12741</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2021-03-17T09:19:00Z</dcterms:created>
  <dc:creator>Administrator</dc:creator>
  <cp:lastModifiedBy>iPhone</cp:lastModifiedBy>
  <dcterms:modified xsi:type="dcterms:W3CDTF">2023-09-28T19:40:01Z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2052-12.3.2</vt:lpwstr>
  </property>
  <property fmtid="{D5CDD505-2E9C-101B-9397-08002B2CF9AE}" pid="3" name="ICV">
    <vt:lpwstr>25B7346C3EB859421465156572AA12D6_32</vt:lpwstr>
  </property>
</Properties>
</file>