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sz w:val="52"/>
          <w:szCs w:val="52"/>
          <w:lang w:eastAsia="zh-CN"/>
        </w:rPr>
      </w:pPr>
      <w:r>
        <w:rPr>
          <w:rFonts w:hint="eastAsia"/>
          <w:sz w:val="52"/>
          <w:szCs w:val="52"/>
          <w:lang w:val="en-US" w:eastAsia="zh-CN"/>
        </w:rPr>
        <w:t>2022</w:t>
      </w:r>
      <w:r>
        <w:rPr>
          <w:rFonts w:hint="eastAsia"/>
          <w:sz w:val="52"/>
          <w:szCs w:val="52"/>
        </w:rPr>
        <w:t>年</w:t>
      </w:r>
      <w:r>
        <w:rPr>
          <w:rFonts w:hint="eastAsia"/>
          <w:sz w:val="52"/>
          <w:szCs w:val="52"/>
          <w:lang w:eastAsia="zh-CN"/>
        </w:rPr>
        <w:t>三亚市育才医院</w:t>
      </w:r>
    </w:p>
    <w:p>
      <w:pPr>
        <w:jc w:val="center"/>
        <w:rPr>
          <w:sz w:val="52"/>
          <w:szCs w:val="52"/>
        </w:rPr>
      </w:pPr>
      <w:r>
        <w:rPr>
          <w:rFonts w:hint="eastAsia"/>
          <w:sz w:val="52"/>
          <w:szCs w:val="52"/>
        </w:rPr>
        <w:t>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7"/>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仿宋_GB2312" w:hAnsi="黑体" w:eastAsia="仿宋_GB2312" w:cs="仿宋_GB2312"/>
          <w:sz w:val="32"/>
          <w:szCs w:val="32"/>
          <w:lang w:eastAsia="zh-CN"/>
        </w:rPr>
        <w:t>三亚市育才医院</w:t>
      </w:r>
      <w:r>
        <w:rPr>
          <w:rFonts w:hint="eastAsia" w:ascii="黑体" w:hAnsi="黑体" w:eastAsia="黑体"/>
          <w:sz w:val="32"/>
          <w:szCs w:val="32"/>
        </w:rPr>
        <w:t>概况</w:t>
      </w:r>
    </w:p>
    <w:p>
      <w:pPr>
        <w:pStyle w:val="7"/>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7"/>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年单位预算表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7"/>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7"/>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w:t>
      </w:r>
      <w:bookmarkStart w:id="0" w:name="_GoBack"/>
      <w:bookmarkEnd w:id="0"/>
      <w:r>
        <w:rPr>
          <w:rFonts w:hint="eastAsia" w:ascii="仿宋_GB2312" w:hAnsi="仿宋_GB2312" w:eastAsia="仿宋_GB2312" w:cs="仿宋_GB2312"/>
          <w:sz w:val="32"/>
          <w:szCs w:val="32"/>
        </w:rPr>
        <w:t>出绩效信息表</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三亚市育才医院</w:t>
      </w:r>
      <w:r>
        <w:rPr>
          <w:rFonts w:hint="eastAsia" w:ascii="黑体" w:hAnsi="黑体" w:eastAsia="黑体"/>
          <w:sz w:val="32"/>
          <w:szCs w:val="32"/>
          <w:lang w:val="en-US" w:eastAsia="zh-CN"/>
        </w:rPr>
        <w:t>2022</w:t>
      </w:r>
      <w:r>
        <w:rPr>
          <w:rFonts w:hint="eastAsia" w:ascii="黑体" w:hAnsi="黑体" w:eastAsia="黑体"/>
          <w:sz w:val="32"/>
          <w:szCs w:val="32"/>
        </w:rPr>
        <w:t>年单位预算情况说明</w:t>
      </w:r>
    </w:p>
    <w:p>
      <w:pPr>
        <w:pStyle w:val="7"/>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7"/>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7"/>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三亚市育才医院</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7"/>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7"/>
        <w:numPr>
          <w:ilvl w:val="-1"/>
          <w:numId w:val="0"/>
        </w:numPr>
        <w:ind w:left="0" w:firstLine="480" w:firstLineChars="200"/>
        <w:jc w:val="left"/>
        <w:rPr>
          <w:rFonts w:hint="eastAsia" w:ascii="微软雅黑" w:hAnsi="微软雅黑" w:eastAsia="微软雅黑" w:cs="微软雅黑"/>
          <w:i w:val="0"/>
          <w:caps w:val="0"/>
          <w:color w:val="000000" w:themeColor="text1"/>
          <w:spacing w:val="0"/>
          <w:sz w:val="24"/>
          <w:szCs w:val="24"/>
          <w:shd w:val="clear" w:fill="FFFFFF"/>
        </w:rPr>
      </w:pPr>
      <w:r>
        <w:rPr>
          <w:rFonts w:hint="eastAsia" w:ascii="微软雅黑" w:hAnsi="微软雅黑" w:eastAsia="微软雅黑" w:cs="微软雅黑"/>
          <w:i w:val="0"/>
          <w:caps w:val="0"/>
          <w:color w:val="000000" w:themeColor="text1"/>
          <w:spacing w:val="0"/>
          <w:sz w:val="24"/>
          <w:szCs w:val="24"/>
          <w:shd w:val="clear" w:fill="FFFFFF"/>
          <w:lang w:val="en-US" w:eastAsia="zh-CN"/>
        </w:rPr>
        <w:t>1、</w:t>
      </w:r>
      <w:r>
        <w:rPr>
          <w:rFonts w:hint="eastAsia" w:ascii="微软雅黑" w:hAnsi="微软雅黑" w:eastAsia="微软雅黑" w:cs="微软雅黑"/>
          <w:i w:val="0"/>
          <w:caps w:val="0"/>
          <w:color w:val="000000" w:themeColor="text1"/>
          <w:spacing w:val="0"/>
          <w:sz w:val="24"/>
          <w:szCs w:val="24"/>
          <w:shd w:val="clear" w:fill="FFFFFF"/>
          <w:lang w:eastAsia="zh-CN"/>
        </w:rPr>
        <w:t>育才医院</w:t>
      </w:r>
      <w:r>
        <w:rPr>
          <w:rFonts w:ascii="微软雅黑" w:hAnsi="微软雅黑" w:eastAsia="微软雅黑" w:cs="微软雅黑"/>
          <w:i w:val="0"/>
          <w:caps w:val="0"/>
          <w:color w:val="000000" w:themeColor="text1"/>
          <w:spacing w:val="0"/>
          <w:sz w:val="24"/>
          <w:szCs w:val="24"/>
          <w:shd w:val="clear" w:fill="FFFFFF"/>
        </w:rPr>
        <w:t>以</w:t>
      </w:r>
      <w:r>
        <w:rPr>
          <w:rFonts w:hint="eastAsia" w:ascii="微软雅黑" w:hAnsi="微软雅黑" w:eastAsia="微软雅黑" w:cs="微软雅黑"/>
          <w:i w:val="0"/>
          <w:caps w:val="0"/>
          <w:color w:val="000000" w:themeColor="text1"/>
          <w:spacing w:val="0"/>
          <w:sz w:val="24"/>
          <w:szCs w:val="24"/>
          <w:shd w:val="clear" w:fill="FFFFFF"/>
          <w:lang w:eastAsia="zh-CN"/>
        </w:rPr>
        <w:t>临床医疗及</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"http://www.so.com/s?q=%E5%85%AC%E5%85%B1%E5%8D%AB%E7%94%9F&amp;ie=utf-8&amp;src=internal_wenda_recommend_textn"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公共卫生</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服务为主，综合提供预防、</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"http://www.so.com/s?q=%E4%BF%9D%E5%81%A5&amp;ie=utf-8&amp;src=internal_wenda_recommend_textn"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保健</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和</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"http://www.so.com/s?q=%E5%9F%BA%E6%9C%AC%E5%8C%BB%E7%96%97&amp;ie=utf-8&amp;src=internal_wenda_recommend_textn"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基本医疗</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等服务</w:t>
      </w:r>
    </w:p>
    <w:p>
      <w:pPr>
        <w:pStyle w:val="7"/>
        <w:numPr>
          <w:ilvl w:val="-1"/>
          <w:numId w:val="0"/>
        </w:numPr>
        <w:ind w:left="0" w:firstLine="480" w:firstLineChars="200"/>
        <w:jc w:val="left"/>
        <w:rPr>
          <w:rFonts w:hint="eastAsia" w:ascii="微软雅黑" w:hAnsi="微软雅黑" w:eastAsia="微软雅黑" w:cs="微软雅黑"/>
          <w:i w:val="0"/>
          <w:caps w:val="0"/>
          <w:color w:val="000000" w:themeColor="text1"/>
          <w:spacing w:val="0"/>
          <w:sz w:val="24"/>
          <w:szCs w:val="24"/>
          <w:shd w:val="clear" w:fill="FFFFFF"/>
        </w:rPr>
      </w:pPr>
      <w:r>
        <w:rPr>
          <w:rFonts w:hint="eastAsia" w:ascii="微软雅黑" w:hAnsi="微软雅黑" w:eastAsia="微软雅黑" w:cs="微软雅黑"/>
          <w:i w:val="0"/>
          <w:caps w:val="0"/>
          <w:color w:val="000000" w:themeColor="text1"/>
          <w:spacing w:val="0"/>
          <w:sz w:val="24"/>
          <w:szCs w:val="24"/>
          <w:shd w:val="clear" w:fill="FFFFFF"/>
          <w:lang w:val="en-US" w:eastAsia="zh-CN"/>
        </w:rPr>
        <w:t>2、</w:t>
      </w:r>
      <w:r>
        <w:rPr>
          <w:rFonts w:hint="eastAsia" w:ascii="微软雅黑" w:hAnsi="微软雅黑" w:eastAsia="微软雅黑" w:cs="微软雅黑"/>
          <w:i w:val="0"/>
          <w:caps w:val="0"/>
          <w:color w:val="000000" w:themeColor="text1"/>
          <w:spacing w:val="0"/>
          <w:sz w:val="24"/>
          <w:szCs w:val="24"/>
          <w:shd w:val="clear" w:fill="FFFFFF"/>
        </w:rPr>
        <w:t>加强</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"http://www.so.com/s?q=%E5%86%9C%E6%9D%91&amp;ie=utf-8&amp;src=internal_wenda_recommend_textn"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农村</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疾病预防控制，做好</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"http://www.so.com/s?q=%E4%BC%A0%E6%9F%93%E7%97%85&amp;ie=utf-8&amp;src=internal_wenda_recommend_textn"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传染病</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"http://www.so.com/s?q=%E5%9C%B0%E6%96%B9%E7%97%85&amp;ie=utf-8&amp;src=internal_wenda_recommend_textn"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地方病</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防治和疫情等农村</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"http://www.so.com/s?q=%E7%AA%81%E5%8F%91%E6%80%A7%E5%85%AC%E5%85%B1%E5%8D%AB%E7%94%9F%E4%BA%8B%E4%BB%B6&amp;ie=utf-8&amp;src=internal_wenda_recommend_textn"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突发性公共卫生事件</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报告工作，</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"http://www.so.com/s?q=%E9%87%8D%E7%82%B9&amp;ie=utf-8&amp;src=internal_wenda_recommend_textn"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重点</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控制严重危害</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"http://www.so.com/s?q=%E5%86%9C%E6%B0%91&amp;ie=utf-8&amp;src=internal_wenda_recommend_textn"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农民</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身体健康的传染病、地方病、</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"http://www.so.com/s?q=%E8%81%8C%E4%B8%9A%E7%97%85&amp;ie=utf-8&amp;src=internal_wenda_recommend_textn"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职业病</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和寄生虫病等</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"http://www.so.com/s?q=%E9%87%8D%E5%A4%A7%E7%96%BE%E7%97%85&amp;ie=utf-8&amp;src=internal_wenda_recommend_textn"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重大疾病</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w:t>
      </w:r>
    </w:p>
    <w:p>
      <w:pPr>
        <w:pStyle w:val="7"/>
        <w:numPr>
          <w:ilvl w:val="-1"/>
          <w:numId w:val="0"/>
        </w:numPr>
        <w:ind w:left="0" w:firstLine="480" w:firstLineChars="200"/>
        <w:jc w:val="left"/>
        <w:rPr>
          <w:rFonts w:hint="eastAsia" w:ascii="微软雅黑" w:hAnsi="微软雅黑" w:eastAsia="微软雅黑" w:cs="微软雅黑"/>
          <w:i w:val="0"/>
          <w:caps w:val="0"/>
          <w:color w:val="000000" w:themeColor="text1"/>
          <w:spacing w:val="0"/>
          <w:sz w:val="24"/>
          <w:szCs w:val="24"/>
          <w:shd w:val="clear" w:fill="FFFFFF"/>
        </w:rPr>
      </w:pPr>
      <w:r>
        <w:rPr>
          <w:rFonts w:hint="eastAsia" w:ascii="微软雅黑" w:hAnsi="微软雅黑" w:eastAsia="微软雅黑" w:cs="微软雅黑"/>
          <w:i w:val="0"/>
          <w:caps w:val="0"/>
          <w:color w:val="000000" w:themeColor="text1"/>
          <w:spacing w:val="0"/>
          <w:sz w:val="24"/>
          <w:szCs w:val="24"/>
          <w:shd w:val="clear" w:fill="FFFFFF"/>
          <w:lang w:val="en-US" w:eastAsia="zh-CN"/>
        </w:rPr>
        <w:t>3、</w:t>
      </w:r>
      <w:r>
        <w:rPr>
          <w:rFonts w:hint="eastAsia" w:ascii="微软雅黑" w:hAnsi="微软雅黑" w:eastAsia="微软雅黑" w:cs="微软雅黑"/>
          <w:i w:val="0"/>
          <w:caps w:val="0"/>
          <w:color w:val="000000" w:themeColor="text1"/>
          <w:spacing w:val="0"/>
          <w:sz w:val="24"/>
          <w:szCs w:val="24"/>
          <w:shd w:val="clear" w:fill="FFFFFF"/>
        </w:rPr>
        <w:t>认真执行</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"http://www.so.com/s?q=%E5%84%BF%E7%AB%A5%E8%AE%A1%E5%88%92%E5%85%8D%E7%96%AB&amp;ie=utf-8&amp;src=internal_wenda_recommend_textn"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儿童计划免疫</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。积极开展</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"http://www.so.com/s?q=%E6%85%A2%E6%80%A7%E9%9D%9E%E4%BC%A0%E6%9F%93%E6%80%A7%E7%96%BE%E7%97%85&amp;ie=utf-8&amp;src=internal_wenda_recommend_textn"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慢性非传染性疾病</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的防治工作。</w:t>
      </w:r>
    </w:p>
    <w:p>
      <w:pPr>
        <w:pStyle w:val="7"/>
        <w:numPr>
          <w:ilvl w:val="-1"/>
          <w:numId w:val="0"/>
        </w:numPr>
        <w:ind w:left="479" w:leftChars="228" w:firstLine="0" w:firstLineChars="0"/>
        <w:jc w:val="left"/>
        <w:rPr>
          <w:rFonts w:hint="eastAsia" w:ascii="微软雅黑" w:hAnsi="微软雅黑" w:eastAsia="微软雅黑" w:cs="微软雅黑"/>
          <w:i w:val="0"/>
          <w:caps w:val="0"/>
          <w:color w:val="000000" w:themeColor="text1"/>
          <w:spacing w:val="0"/>
          <w:sz w:val="24"/>
          <w:szCs w:val="24"/>
          <w:shd w:val="clear" w:fill="FFFFFF"/>
        </w:rPr>
      </w:pPr>
      <w:r>
        <w:rPr>
          <w:rFonts w:hint="eastAsia" w:ascii="微软雅黑" w:hAnsi="微软雅黑" w:eastAsia="微软雅黑" w:cs="微软雅黑"/>
          <w:i w:val="0"/>
          <w:caps w:val="0"/>
          <w:color w:val="000000" w:themeColor="text1"/>
          <w:spacing w:val="0"/>
          <w:sz w:val="24"/>
          <w:szCs w:val="24"/>
          <w:shd w:val="clear" w:fill="FFFFFF"/>
        </w:rPr>
        <w:t>4、做好农村孕产妇和儿童保健工作，提高住院分娩率，改善儿童营养状况。</w:t>
      </w:r>
      <w:r>
        <w:rPr>
          <w:rFonts w:hint="eastAsia" w:ascii="微软雅黑" w:hAnsi="微软雅黑" w:eastAsia="微软雅黑" w:cs="微软雅黑"/>
          <w:i w:val="0"/>
          <w:caps w:val="0"/>
          <w:color w:val="000000" w:themeColor="text1"/>
          <w:spacing w:val="0"/>
          <w:sz w:val="24"/>
          <w:szCs w:val="24"/>
          <w:shd w:val="clear" w:fill="FFFFFF"/>
        </w:rPr>
        <w:br w:type="textWrapping"/>
      </w:r>
      <w:r>
        <w:rPr>
          <w:rFonts w:hint="eastAsia" w:ascii="微软雅黑" w:hAnsi="微软雅黑" w:eastAsia="微软雅黑" w:cs="微软雅黑"/>
          <w:i w:val="0"/>
          <w:caps w:val="0"/>
          <w:color w:val="000000" w:themeColor="text1"/>
          <w:spacing w:val="0"/>
          <w:sz w:val="24"/>
          <w:szCs w:val="24"/>
          <w:shd w:val="clear" w:fill="FFFFFF"/>
        </w:rPr>
        <w:t>5、积极做好</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"http://www.so.com/s?q=%E6%96%B0%E5%9E%8B%E5%86%9C%E6%9D%91%E5%90%88%E4%BD%9C%E5%8C%BB%E7%96%97&amp;ie=utf-8&amp;src=internal_wenda_recommend_textn"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新型农村合作医疗</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的服务、</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"http://www.so.com/s?q=%E8%AE%A1%E5%88%92%E7%94%9F%E8%82%B2&amp;ie=utf-8&amp;src=internal_wenda_recommend_textn"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计划生育</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技术指导、康复等工作。</w:t>
      </w:r>
    </w:p>
    <w:p>
      <w:pPr>
        <w:ind w:firstLine="480" w:firstLineChars="200"/>
        <w:jc w:val="left"/>
        <w:rPr>
          <w:rFonts w:hint="eastAsia" w:ascii="微软雅黑" w:hAnsi="微软雅黑" w:eastAsia="微软雅黑" w:cs="微软雅黑"/>
          <w:i w:val="0"/>
          <w:caps w:val="0"/>
          <w:color w:val="333333"/>
          <w:spacing w:val="0"/>
          <w:sz w:val="24"/>
          <w:szCs w:val="24"/>
          <w:shd w:val="clear" w:fill="FFFFFF"/>
          <w:lang w:val="en-US" w:eastAsia="zh-CN"/>
        </w:rPr>
      </w:pPr>
      <w:r>
        <w:rPr>
          <w:rFonts w:hint="eastAsia" w:ascii="微软雅黑" w:hAnsi="微软雅黑" w:eastAsia="微软雅黑" w:cs="微软雅黑"/>
          <w:i w:val="0"/>
          <w:caps w:val="0"/>
          <w:color w:val="000000" w:themeColor="text1"/>
          <w:spacing w:val="0"/>
          <w:sz w:val="24"/>
          <w:szCs w:val="24"/>
          <w:shd w:val="clear" w:fill="FFFFFF"/>
        </w:rPr>
        <w:t>6、开展</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"http://www.so.com/s?q=%E7%88%B1%E5%9B%BD%E5%8D%AB%E7%94%9F%E8%BF%90%E5%8A%A8&amp;ie=utf-8&amp;src=internal_wenda_recommend_textn"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爱国卫生运动</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，普及疾病预防和</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"http://www.so.com/s?q=%E5%8D%AB%E7%94%9F%E4%BF%9D%E5%81%A5&amp;ie=utf-8&amp;src=internal_wenda_recommend_textn"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卫生保健</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知识，指导</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"http://www.so.com/s?q=%E7%BE%A4%E4%BC%97&amp;ie=utf-8&amp;src=internal_wenda_recommend_textn"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群众</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改善居住、饮食、</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"http://www.so.com/s?q=%E9%A5%AE%E6%B0%B4&amp;ie=utf-8&amp;src=internal_wenda_recommend_textn"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饮水</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和</w:t>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"http://www.so.com/s?q=%E7%8E%AF%E5%A2%83%E5%8D%AB%E7%94%9F&amp;ie=utf-8&amp;src=internal_wenda_recommend_textn"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环境卫生</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u w:val="none"/>
          <w:shd w:val="clear" w:fill="FFFFFF"/>
        </w:rPr>
        <w:fldChar w:fldCharType="begin"/>
      </w:r>
      <w:r>
        <w:rPr>
          <w:rFonts w:hint="eastAsia" w:ascii="微软雅黑" w:hAnsi="微软雅黑" w:eastAsia="微软雅黑" w:cs="微软雅黑"/>
          <w:i w:val="0"/>
          <w:caps w:val="0"/>
          <w:color w:val="000000" w:themeColor="text1"/>
          <w:spacing w:val="0"/>
          <w:sz w:val="24"/>
          <w:szCs w:val="24"/>
          <w:u w:val="none"/>
          <w:shd w:val="clear" w:fill="FFFFFF"/>
        </w:rPr>
        <w:instrText xml:space="preserve"> HYPERLINK "http://www.so.com/s?q=%E6%9D%A1%E4%BB%B6&amp;ie=utf-8&amp;src=internal_wenda_recommend_textn" \t "https://wenda.so.com/q/_blank" </w:instrText>
      </w:r>
      <w:r>
        <w:rPr>
          <w:rFonts w:hint="eastAsia" w:ascii="微软雅黑" w:hAnsi="微软雅黑" w:eastAsia="微软雅黑" w:cs="微软雅黑"/>
          <w:i w:val="0"/>
          <w:caps w:val="0"/>
          <w:color w:val="000000" w:themeColor="text1"/>
          <w:spacing w:val="0"/>
          <w:sz w:val="24"/>
          <w:szCs w:val="24"/>
          <w:u w:val="none"/>
          <w:shd w:val="clear" w:fill="FFFFFF"/>
        </w:rPr>
        <w:fldChar w:fldCharType="separate"/>
      </w:r>
      <w:r>
        <w:rPr>
          <w:rStyle w:val="6"/>
          <w:rFonts w:hint="eastAsia" w:ascii="微软雅黑" w:hAnsi="微软雅黑" w:eastAsia="微软雅黑" w:cs="微软雅黑"/>
          <w:i w:val="0"/>
          <w:caps w:val="0"/>
          <w:color w:val="000000" w:themeColor="text1"/>
          <w:spacing w:val="0"/>
          <w:sz w:val="24"/>
          <w:szCs w:val="24"/>
          <w:u w:val="none"/>
          <w:shd w:val="clear" w:fill="FFFFFF"/>
        </w:rPr>
        <w:t>条件</w:t>
      </w:r>
      <w:r>
        <w:rPr>
          <w:rFonts w:hint="eastAsia" w:ascii="微软雅黑" w:hAnsi="微软雅黑" w:eastAsia="微软雅黑" w:cs="微软雅黑"/>
          <w:i w:val="0"/>
          <w:caps w:val="0"/>
          <w:color w:val="000000" w:themeColor="text1"/>
          <w:spacing w:val="0"/>
          <w:sz w:val="24"/>
          <w:szCs w:val="24"/>
          <w:u w:val="none"/>
          <w:shd w:val="clear" w:fill="FFFFFF"/>
        </w:rPr>
        <w:fldChar w:fldCharType="end"/>
      </w:r>
      <w:r>
        <w:rPr>
          <w:rFonts w:hint="eastAsia" w:ascii="微软雅黑" w:hAnsi="微软雅黑" w:eastAsia="微软雅黑" w:cs="微软雅黑"/>
          <w:i w:val="0"/>
          <w:caps w:val="0"/>
          <w:color w:val="000000" w:themeColor="text1"/>
          <w:spacing w:val="0"/>
          <w:sz w:val="24"/>
          <w:szCs w:val="24"/>
          <w:shd w:val="clear" w:fill="FFFFFF"/>
        </w:rPr>
        <w:t>，引导和帮助农民建立良</w:t>
      </w:r>
      <w:r>
        <w:rPr>
          <w:rFonts w:hint="eastAsia" w:ascii="微软雅黑" w:hAnsi="微软雅黑" w:eastAsia="微软雅黑" w:cs="微软雅黑"/>
          <w:i w:val="0"/>
          <w:caps w:val="0"/>
          <w:color w:val="333333"/>
          <w:spacing w:val="0"/>
          <w:sz w:val="24"/>
          <w:szCs w:val="24"/>
          <w:shd w:val="clear" w:fill="FFFFFF"/>
        </w:rPr>
        <w:t>好的卫生习惯。</w:t>
      </w:r>
      <w:r>
        <w:rPr>
          <w:rFonts w:hint="eastAsia" w:ascii="微软雅黑" w:hAnsi="微软雅黑" w:eastAsia="微软雅黑" w:cs="微软雅黑"/>
          <w:i w:val="0"/>
          <w:caps w:val="0"/>
          <w:color w:val="333333"/>
          <w:spacing w:val="0"/>
          <w:sz w:val="24"/>
          <w:szCs w:val="24"/>
          <w:shd w:val="clear" w:fill="FFFFFF"/>
          <w:lang w:val="en-US" w:eastAsia="zh-CN"/>
        </w:rPr>
        <w:t xml:space="preserve">                                                            </w:t>
      </w:r>
    </w:p>
    <w:p>
      <w:pPr>
        <w:ind w:firstLine="480" w:firstLineChars="200"/>
        <w:rPr>
          <w:rFonts w:hint="default" w:ascii="微软雅黑" w:hAnsi="微软雅黑" w:eastAsia="微软雅黑" w:cs="微软雅黑"/>
          <w:i w:val="0"/>
          <w:caps w:val="0"/>
          <w:color w:val="333333"/>
          <w:spacing w:val="0"/>
          <w:sz w:val="24"/>
          <w:szCs w:val="24"/>
          <w:shd w:val="clear" w:fill="FFFFFF"/>
          <w:lang w:val="en-US" w:eastAsia="zh-CN"/>
        </w:rPr>
      </w:pPr>
      <w:r>
        <w:rPr>
          <w:rFonts w:hint="eastAsia" w:ascii="微软雅黑" w:hAnsi="微软雅黑" w:eastAsia="微软雅黑" w:cs="微软雅黑"/>
          <w:sz w:val="24"/>
          <w:szCs w:val="24"/>
          <w:lang w:val="en-US" w:eastAsia="zh-CN"/>
        </w:rPr>
        <w:t>7、机构设置：医院设有住院部和门诊部，开放床位数175张，下设外科、内科、儿科、妇产科、中医科、公共卫生科、放射科、检验科、超声影像科、康复理疗等科室。拥有彩色B超机、CT、床旁肌钙蛋白监测仪、数字X光机（DR）、全自动生化分析仪、免疫化学发光分析仪、婴儿复苏台、新生儿保温箱等先进仪器。现有职工100人，其中专业技术63人。医院以建立健全现代化管理为目标，强化体系创新、技术创新、管理创新、加强医学科技创新能力，向建立二级医院目标发展。</w:t>
      </w: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年单位预算表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（此部分内容即为部门或单位预算公开表）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三亚市育才医院</w:t>
      </w:r>
      <w:r>
        <w:rPr>
          <w:rFonts w:hint="eastAsia" w:ascii="黑体" w:hAnsi="黑体" w:eastAsia="黑体"/>
          <w:sz w:val="32"/>
          <w:szCs w:val="32"/>
          <w:lang w:val="en-US" w:eastAsia="zh-CN"/>
        </w:rPr>
        <w:t>2022</w:t>
      </w:r>
      <w:r>
        <w:rPr>
          <w:rFonts w:hint="eastAsia" w:ascii="黑体" w:hAnsi="黑体" w:eastAsia="黑体"/>
          <w:sz w:val="32"/>
          <w:szCs w:val="32"/>
        </w:rPr>
        <w:t>年单位预算情况说明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三亚市育才医院</w:t>
      </w:r>
      <w:r>
        <w:rPr>
          <w:rFonts w:hint="eastAsia" w:ascii="黑体" w:hAnsi="黑体" w:eastAsia="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sz w:val="32"/>
          <w:szCs w:val="32"/>
          <w:lang w:val="en-US" w:eastAsia="zh-CN"/>
        </w:rPr>
        <w:t>3060.47</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3060.47</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1219</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1.47</w:t>
      </w:r>
      <w:r>
        <w:rPr>
          <w:rFonts w:hint="eastAsia" w:ascii="仿宋_GB2312" w:hAnsi="黑体" w:eastAsia="仿宋_GB2312"/>
          <w:sz w:val="32"/>
          <w:szCs w:val="32"/>
        </w:rPr>
        <w:t>万元，</w:t>
      </w:r>
      <w:r>
        <w:rPr>
          <w:rFonts w:hint="eastAsia" w:ascii="仿宋_GB2312" w:hAnsi="黑体" w:eastAsia="仿宋_GB2312"/>
          <w:sz w:val="32"/>
          <w:szCs w:val="32"/>
          <w:lang w:eastAsia="zh-CN"/>
        </w:rPr>
        <w:t>单位资金</w:t>
      </w:r>
      <w:r>
        <w:rPr>
          <w:rFonts w:hint="eastAsia" w:ascii="仿宋_GB2312" w:hAnsi="黑体" w:eastAsia="仿宋_GB2312"/>
          <w:sz w:val="32"/>
          <w:szCs w:val="32"/>
        </w:rPr>
        <w:t>本年收入</w:t>
      </w:r>
      <w:r>
        <w:rPr>
          <w:rFonts w:hint="eastAsia" w:ascii="仿宋_GB2312" w:hAnsi="黑体" w:eastAsia="仿宋_GB2312" w:cs="仿宋_GB2312"/>
          <w:sz w:val="32"/>
          <w:szCs w:val="32"/>
          <w:lang w:val="en-US" w:eastAsia="zh-CN"/>
        </w:rPr>
        <w:t>840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1000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1220.47</w:t>
      </w:r>
      <w:r>
        <w:rPr>
          <w:rFonts w:hint="eastAsia" w:ascii="仿宋_GB2312" w:hAnsi="黑体" w:eastAsia="仿宋_GB2312"/>
          <w:sz w:val="32"/>
          <w:szCs w:val="32"/>
        </w:rPr>
        <w:t>万元，包括</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支出</w:t>
      </w:r>
      <w:r>
        <w:rPr>
          <w:rFonts w:hint="eastAsia" w:ascii="仿宋_GB2312" w:hAnsi="黑体" w:eastAsia="仿宋_GB2312"/>
          <w:sz w:val="32"/>
          <w:szCs w:val="32"/>
          <w:lang w:val="en-US" w:eastAsia="zh-CN"/>
        </w:rPr>
        <w:t>82.27</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1080.83</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57.37</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1840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1220.47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308.81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增加了卫生健康支出预算。</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支出</w:t>
      </w:r>
      <w:r>
        <w:rPr>
          <w:rFonts w:hint="eastAsia" w:ascii="仿宋_GB2312" w:hAnsi="黑体" w:eastAsia="仿宋_GB2312"/>
          <w:sz w:val="32"/>
          <w:szCs w:val="32"/>
          <w:lang w:val="en-US" w:eastAsia="zh-CN"/>
        </w:rPr>
        <w:t>82.27</w:t>
      </w:r>
      <w:r>
        <w:rPr>
          <w:rFonts w:hint="eastAsia" w:ascii="仿宋_GB2312" w:hAnsi="黑体" w:eastAsia="仿宋_GB2312"/>
          <w:sz w:val="32"/>
          <w:szCs w:val="32"/>
        </w:rPr>
        <w:t>万元</w:t>
      </w:r>
      <w:r>
        <w:rPr>
          <w:rFonts w:hint="eastAsia" w:ascii="仿宋_GB2312" w:hAnsi="黑体" w:eastAsia="仿宋_GB2312"/>
          <w:sz w:val="32"/>
          <w:szCs w:val="32"/>
          <w:lang w:eastAsia="zh-CN"/>
        </w:rPr>
        <w:t>，占</w:t>
      </w:r>
      <w:r>
        <w:rPr>
          <w:rFonts w:hint="eastAsia" w:ascii="仿宋_GB2312" w:hAnsi="黑体" w:eastAsia="仿宋_GB2312"/>
          <w:sz w:val="32"/>
          <w:szCs w:val="32"/>
          <w:lang w:val="en-US" w:eastAsia="zh-CN"/>
        </w:rPr>
        <w:t>6.74%；</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1080.83</w:t>
      </w:r>
      <w:r>
        <w:rPr>
          <w:rFonts w:hint="eastAsia" w:ascii="仿宋_GB2312" w:hAnsi="黑体" w:eastAsia="仿宋_GB2312"/>
          <w:sz w:val="32"/>
          <w:szCs w:val="32"/>
        </w:rPr>
        <w:t>万元</w:t>
      </w:r>
      <w:r>
        <w:rPr>
          <w:rFonts w:hint="eastAsia" w:ascii="仿宋_GB2312" w:hAnsi="黑体" w:eastAsia="仿宋_GB2312"/>
          <w:sz w:val="32"/>
          <w:szCs w:val="32"/>
          <w:lang w:eastAsia="zh-CN"/>
        </w:rPr>
        <w:t>，占</w:t>
      </w:r>
      <w:r>
        <w:rPr>
          <w:rFonts w:hint="eastAsia" w:ascii="仿宋_GB2312" w:hAnsi="黑体" w:eastAsia="仿宋_GB2312"/>
          <w:sz w:val="32"/>
          <w:szCs w:val="32"/>
          <w:lang w:val="en-US" w:eastAsia="zh-CN"/>
        </w:rPr>
        <w:t>88.56%;</w:t>
      </w:r>
      <w:r>
        <w:rPr>
          <w:rFonts w:hint="eastAsia" w:ascii="仿宋_GB2312" w:hAnsi="黑体" w:eastAsia="仿宋_GB2312"/>
          <w:sz w:val="32"/>
          <w:szCs w:val="32"/>
          <w:lang w:eastAsia="zh-CN"/>
        </w:rPr>
        <w:t>住房保障</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57.37</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,占4.7%；</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1.</w:t>
      </w:r>
      <w:r>
        <w:rPr>
          <w:rFonts w:hint="eastAsia" w:ascii="仿宋_GB2312" w:hAnsi="黑体" w:eastAsia="仿宋_GB2312" w:cs="仿宋_GB2312"/>
          <w:sz w:val="32"/>
          <w:szCs w:val="32"/>
          <w:lang w:eastAsia="zh-CN"/>
        </w:rPr>
        <w:t>社会保障和就业</w:t>
      </w:r>
      <w:r>
        <w:rPr>
          <w:rFonts w:hint="eastAsia" w:ascii="仿宋_GB2312" w:hAnsi="黑体" w:eastAsia="仿宋_GB2312" w:cs="仿宋_GB2312"/>
          <w:sz w:val="32"/>
          <w:szCs w:val="32"/>
        </w:rPr>
        <w:t>（类）行政</w:t>
      </w:r>
      <w:r>
        <w:rPr>
          <w:rFonts w:hint="eastAsia" w:ascii="仿宋_GB2312" w:hAnsi="黑体" w:eastAsia="仿宋_GB2312" w:cs="仿宋_GB2312"/>
          <w:sz w:val="32"/>
          <w:szCs w:val="32"/>
          <w:lang w:eastAsia="zh-CN"/>
        </w:rPr>
        <w:t>事业单位养老支出（款）机关事业单位基本养老保险缴费支出</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82.27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16.23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人员增加与增资。</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w:t>
      </w:r>
      <w:r>
        <w:rPr>
          <w:rFonts w:hint="eastAsia" w:ascii="仿宋_GB2312" w:hAnsi="黑体" w:eastAsia="仿宋_GB2312" w:cs="仿宋_GB2312"/>
          <w:sz w:val="32"/>
          <w:szCs w:val="32"/>
          <w:lang w:eastAsia="zh-CN"/>
        </w:rPr>
        <w:t>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公务员医疗补助</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1080.83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285.40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人员增加与增资，导致行政事业单位医疗经费增加。</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3</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w:t>
      </w:r>
      <w:r>
        <w:rPr>
          <w:rFonts w:hint="eastAsia" w:ascii="仿宋_GB2312" w:hAnsi="黑体" w:eastAsia="仿宋_GB2312" w:cs="仿宋_GB2312"/>
          <w:sz w:val="32"/>
          <w:szCs w:val="32"/>
          <w:lang w:eastAsia="zh-CN"/>
        </w:rPr>
        <w:t>住房保障支出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住房改革支出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住房公积金</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57.37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7.18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人员增加与增资。</w:t>
      </w:r>
    </w:p>
    <w:p>
      <w:pPr>
        <w:ind w:firstLine="640"/>
        <w:rPr>
          <w:rFonts w:ascii="黑体" w:hAnsi="黑体" w:eastAsia="黑体"/>
          <w:sz w:val="32"/>
          <w:szCs w:val="32"/>
        </w:rPr>
      </w:pPr>
      <w:r>
        <w:rPr>
          <w:rFonts w:hint="eastAsia" w:ascii="黑体" w:hAnsi="黑体" w:eastAsia="黑体"/>
          <w:sz w:val="32"/>
          <w:szCs w:val="32"/>
        </w:rPr>
        <w:t>三、关于</w:t>
      </w: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1220.47</w:t>
      </w:r>
      <w:r>
        <w:rPr>
          <w:rFonts w:hint="eastAsia" w:ascii="仿宋_GB2312" w:hAnsi="黑体" w:eastAsia="仿宋_GB2312"/>
          <w:sz w:val="32"/>
          <w:szCs w:val="32"/>
        </w:rPr>
        <w:t>万元，其中：</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900.64</w:t>
      </w:r>
      <w:r>
        <w:rPr>
          <w:rFonts w:hint="eastAsia" w:ascii="仿宋_GB2312" w:hAnsi="黑体" w:eastAsia="仿宋_GB2312"/>
          <w:sz w:val="32"/>
          <w:szCs w:val="32"/>
        </w:rPr>
        <w:t>万元，主要包括：基本工资、津贴补贴、</w:t>
      </w:r>
      <w:r>
        <w:rPr>
          <w:rFonts w:hint="eastAsia" w:ascii="仿宋_GB2312" w:hAnsi="黑体" w:eastAsia="仿宋_GB2312"/>
          <w:sz w:val="32"/>
          <w:szCs w:val="32"/>
          <w:lang w:eastAsia="zh-CN"/>
        </w:rPr>
        <w:t>绩效工资</w:t>
      </w:r>
      <w:r>
        <w:rPr>
          <w:rFonts w:hint="eastAsia" w:ascii="仿宋_GB2312" w:hAnsi="黑体" w:eastAsia="仿宋_GB2312"/>
          <w:sz w:val="32"/>
          <w:szCs w:val="32"/>
        </w:rPr>
        <w:t>、</w:t>
      </w:r>
      <w:r>
        <w:rPr>
          <w:rFonts w:hint="eastAsia" w:ascii="仿宋_GB2312" w:hAnsi="黑体" w:eastAsia="仿宋_GB2312"/>
          <w:sz w:val="32"/>
          <w:szCs w:val="32"/>
          <w:lang w:eastAsia="zh-CN"/>
        </w:rPr>
        <w:t>机关事业单位基本养老保险缴费、职业年金、职工基本医疗保险、公务员医疗补助、其他</w:t>
      </w:r>
      <w:r>
        <w:rPr>
          <w:rFonts w:hint="eastAsia" w:ascii="仿宋_GB2312" w:hAnsi="黑体" w:eastAsia="仿宋_GB2312"/>
          <w:sz w:val="32"/>
          <w:szCs w:val="32"/>
        </w:rPr>
        <w:t>社会保障缴费、</w:t>
      </w:r>
      <w:r>
        <w:rPr>
          <w:rFonts w:hint="eastAsia" w:ascii="仿宋_GB2312" w:hAnsi="黑体" w:eastAsia="仿宋_GB2312"/>
          <w:sz w:val="32"/>
          <w:szCs w:val="32"/>
          <w:lang w:eastAsia="zh-CN"/>
        </w:rPr>
        <w:t>住房公积金、医疗费、其他工资福利支出、生活补助；</w:t>
      </w:r>
    </w:p>
    <w:p>
      <w:pPr>
        <w:ind w:firstLine="640" w:firstLineChars="200"/>
        <w:rPr>
          <w:rFonts w:ascii="仿宋_GB2312" w:hAnsi="黑体" w:eastAsia="仿宋_GB2312"/>
          <w:color w:val="000000" w:themeColor="text1"/>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319.83</w:t>
      </w:r>
      <w:r>
        <w:rPr>
          <w:rFonts w:hint="eastAsia" w:ascii="仿宋_GB2312" w:hAnsi="黑体" w:eastAsia="仿宋_GB2312"/>
          <w:sz w:val="32"/>
          <w:szCs w:val="32"/>
        </w:rPr>
        <w:t>万元，主要包括：办公费、</w:t>
      </w:r>
      <w:r>
        <w:rPr>
          <w:rFonts w:hint="eastAsia" w:ascii="仿宋_GB2312" w:hAnsi="黑体" w:eastAsia="仿宋_GB2312"/>
          <w:sz w:val="32"/>
          <w:szCs w:val="32"/>
          <w:lang w:eastAsia="zh-CN"/>
        </w:rPr>
        <w:t>邮电费、会议费</w:t>
      </w:r>
      <w:r>
        <w:rPr>
          <w:rFonts w:hint="eastAsia" w:ascii="仿宋_GB2312" w:hAnsi="黑体" w:eastAsia="仿宋_GB2312"/>
          <w:sz w:val="32"/>
          <w:szCs w:val="32"/>
        </w:rPr>
        <w:t>、</w:t>
      </w:r>
      <w:r>
        <w:rPr>
          <w:rFonts w:hint="eastAsia" w:ascii="仿宋_GB2312" w:hAnsi="黑体" w:eastAsia="仿宋_GB2312"/>
          <w:color w:val="000000" w:themeColor="text1"/>
          <w:sz w:val="32"/>
          <w:szCs w:val="32"/>
          <w:lang w:eastAsia="zh-CN"/>
        </w:rPr>
        <w:t>工会经费</w:t>
      </w:r>
      <w:r>
        <w:rPr>
          <w:rFonts w:hint="eastAsia" w:ascii="仿宋_GB2312" w:hAnsi="黑体" w:eastAsia="仿宋_GB2312"/>
          <w:color w:val="000000" w:themeColor="text1"/>
          <w:sz w:val="32"/>
          <w:szCs w:val="32"/>
        </w:rPr>
        <w:t>、</w:t>
      </w:r>
      <w:r>
        <w:rPr>
          <w:rFonts w:hint="eastAsia" w:ascii="仿宋_GB2312" w:hAnsi="黑体" w:eastAsia="仿宋_GB2312"/>
          <w:color w:val="000000" w:themeColor="text1"/>
          <w:sz w:val="32"/>
          <w:szCs w:val="32"/>
          <w:lang w:eastAsia="zh-CN"/>
        </w:rPr>
        <w:t>福利费</w:t>
      </w:r>
      <w:r>
        <w:rPr>
          <w:rFonts w:hint="eastAsia" w:ascii="仿宋_GB2312" w:hAnsi="黑体" w:eastAsia="仿宋_GB2312"/>
          <w:color w:val="000000" w:themeColor="text1"/>
          <w:sz w:val="32"/>
          <w:szCs w:val="32"/>
        </w:rPr>
        <w:t>、</w:t>
      </w:r>
      <w:r>
        <w:rPr>
          <w:rFonts w:hint="eastAsia" w:ascii="仿宋_GB2312" w:hAnsi="黑体" w:eastAsia="仿宋_GB2312"/>
          <w:color w:val="000000" w:themeColor="text1"/>
          <w:sz w:val="32"/>
          <w:szCs w:val="32"/>
          <w:lang w:eastAsia="zh-CN"/>
        </w:rPr>
        <w:t>其他商品和服务支出</w:t>
      </w:r>
      <w:r>
        <w:rPr>
          <w:rFonts w:hint="eastAsia" w:ascii="仿宋_GB2312" w:hAnsi="黑体" w:eastAsia="仿宋_GB2312"/>
          <w:color w:val="000000" w:themeColor="text1"/>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hint="eastAsia" w:ascii="仿宋_GB2312" w:hAnsi="黑体" w:eastAsia="仿宋_GB2312" w:cs="Times New Roman"/>
          <w:sz w:val="32"/>
          <w:szCs w:val="32"/>
          <w:lang w:eastAsia="zh-CN"/>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Times New Roman" w:hAnsi="Times New Roman" w:eastAsia="仿宋_GB2312" w:cs="Times New Roman"/>
          <w:sz w:val="32"/>
          <w:shd w:val="clear" w:color="auto" w:fill="FFFFFF"/>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rPr>
        <w:t>所有收入和支出均纳入部门预算管理。收入包括：一般公共预算收入、事业收入</w:t>
      </w:r>
      <w:r>
        <w:rPr>
          <w:rFonts w:hint="eastAsia" w:ascii="仿宋_GB2312" w:hAnsi="黑体" w:eastAsia="仿宋_GB2312"/>
          <w:sz w:val="32"/>
          <w:szCs w:val="32"/>
        </w:rPr>
        <w:t>；支出包括：</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rPr>
        <w:t>、</w:t>
      </w:r>
      <w:r>
        <w:rPr>
          <w:rFonts w:hint="eastAsia" w:ascii="仿宋_GB2312" w:hAnsi="黑体" w:eastAsia="仿宋_GB2312"/>
          <w:sz w:val="32"/>
          <w:szCs w:val="32"/>
          <w:lang w:eastAsia="zh-CN"/>
        </w:rPr>
        <w:t>住房保障</w:t>
      </w:r>
      <w:r>
        <w:rPr>
          <w:rFonts w:hint="eastAsia" w:ascii="仿宋_GB2312" w:hAnsi="黑体" w:eastAsia="仿宋_GB2312"/>
          <w:sz w:val="32"/>
          <w:szCs w:val="32"/>
        </w:rPr>
        <w:t>支出。</w:t>
      </w: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3060.47</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3060.47</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1001.47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32.72</w:t>
      </w:r>
      <w:r>
        <w:rPr>
          <w:rFonts w:hint="eastAsia" w:ascii="仿宋_GB2312" w:hAnsi="黑体" w:eastAsia="仿宋_GB2312"/>
          <w:sz w:val="32"/>
          <w:szCs w:val="32"/>
        </w:rPr>
        <w:t>%；</w:t>
      </w:r>
      <w:r>
        <w:rPr>
          <w:rFonts w:hint="eastAsia" w:ascii="仿宋_GB2312" w:hAnsi="黑体" w:eastAsia="仿宋_GB2312"/>
          <w:sz w:val="32"/>
          <w:szCs w:val="32"/>
          <w:lang w:eastAsia="zh-CN"/>
        </w:rPr>
        <w:t>一般公共预算</w:t>
      </w:r>
      <w:r>
        <w:rPr>
          <w:rFonts w:hint="eastAsia" w:ascii="仿宋_GB2312" w:hAnsi="黑体" w:eastAsia="仿宋_GB2312"/>
          <w:sz w:val="32"/>
          <w:szCs w:val="32"/>
        </w:rPr>
        <w:t>拨款收入</w:t>
      </w:r>
      <w:r>
        <w:rPr>
          <w:rFonts w:hint="eastAsia" w:ascii="仿宋_GB2312" w:hAnsi="黑体" w:eastAsia="仿宋_GB2312" w:cs="仿宋_GB2312"/>
          <w:sz w:val="32"/>
          <w:szCs w:val="32"/>
          <w:lang w:val="en-US" w:eastAsia="zh-CN"/>
        </w:rPr>
        <w:t>2059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67.28</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2148.81</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2022年度实行全面预算管理，预算收入统计口径增加（其中单位资金预算收入增加1840万元）</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仿宋_GB2312" w:hAnsi="黑体" w:eastAsia="仿宋_GB2312"/>
          <w:sz w:val="32"/>
          <w:szCs w:val="32"/>
          <w:lang w:eastAsia="zh-CN"/>
        </w:rPr>
        <w:t>三亚市育才医院</w:t>
      </w:r>
      <w:r>
        <w:rPr>
          <w:rFonts w:hint="eastAsia" w:ascii="仿宋_GB2312" w:hAnsi="黑体" w:eastAsia="仿宋_GB2312"/>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1220.47</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1220.47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308.81</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2022年度实行全面预算管理，预算收入统计口径增加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r>
        <w:rPr>
          <w:rFonts w:hint="eastAsia" w:ascii="楷体" w:hAnsi="楷体" w:eastAsia="楷体"/>
          <w:sz w:val="32"/>
          <w:szCs w:val="32"/>
          <w:lang w:val="en-US" w:eastAsia="zh-CN"/>
        </w:rPr>
        <w:t>（</w:t>
      </w:r>
      <w:r>
        <w:rPr>
          <w:rFonts w:hint="eastAsia" w:ascii="楷体" w:hAnsi="楷体" w:eastAsia="楷体"/>
          <w:sz w:val="32"/>
          <w:szCs w:val="32"/>
        </w:rPr>
        <w:t>行政单位</w:t>
      </w:r>
      <w:r>
        <w:rPr>
          <w:rFonts w:hint="eastAsia" w:ascii="楷体" w:hAnsi="楷体" w:eastAsia="楷体"/>
          <w:sz w:val="32"/>
          <w:szCs w:val="32"/>
          <w:lang w:eastAsia="zh-CN"/>
        </w:rPr>
        <w:t>、</w:t>
      </w:r>
      <w:r>
        <w:rPr>
          <w:rFonts w:hint="eastAsia" w:ascii="楷体" w:hAnsi="楷体" w:eastAsia="楷体"/>
          <w:sz w:val="32"/>
          <w:szCs w:val="32"/>
        </w:rPr>
        <w:t>参照公务员法管理的事业单位</w:t>
      </w:r>
      <w:r>
        <w:rPr>
          <w:rFonts w:hint="eastAsia" w:ascii="楷体" w:hAnsi="楷体" w:eastAsia="楷体"/>
          <w:sz w:val="32"/>
          <w:szCs w:val="32"/>
          <w:lang w:eastAsia="zh-CN"/>
        </w:rPr>
        <w:t>需说明，其他单位不需要说明</w:t>
      </w:r>
      <w:r>
        <w:rPr>
          <w:rFonts w:hint="eastAsia" w:ascii="楷体" w:hAnsi="楷体" w:eastAsia="楷体"/>
          <w:sz w:val="32"/>
          <w:szCs w:val="32"/>
          <w:lang w:val="en-US" w:eastAsia="zh-CN"/>
        </w:rPr>
        <w:t>）</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三亚市育才医院</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1220.47</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A0000287" w:usb1="28CF3C52" w:usb2="00000016" w:usb3="00000000" w:csb0="0004001F" w:csb1="00000000"/>
  </w:font>
  <w:font w:name="楷体">
    <w:panose1 w:val="02010609060101010101"/>
    <w:charset w:val="86"/>
    <w:family w:val="auto"/>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docVars>
    <w:docVar w:name="commondata" w:val="eyJoZGlkIjoiZTNhNzU5NjU1YWQ1OTA3ODAyOGRmMmQ4OTZhZDA3ZGMifQ=="/>
  </w:docVars>
  <w:rsids>
    <w:rsidRoot w:val="00000000"/>
    <w:rsid w:val="16832206"/>
    <w:rsid w:val="2C911AE4"/>
    <w:rsid w:val="388D7659"/>
    <w:rsid w:val="4C7051D5"/>
    <w:rsid w:val="5FA17EA2"/>
    <w:rsid w:val="756D59C3"/>
    <w:rsid w:val="78D300CC"/>
    <w:rsid w:val="7EFF1FA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10"/>
    <w:semiHidden/>
    <w:unhideWhenUsed/>
    <w:qFormat/>
    <w:uiPriority w:val="99"/>
    <w:pPr>
      <w:tabs>
        <w:tab w:val="center" w:pos="4153"/>
        <w:tab w:val="right" w:pos="8306"/>
      </w:tabs>
      <w:snapToGrid w:val="0"/>
      <w:jc w:val="left"/>
    </w:pPr>
    <w:rPr>
      <w:sz w:val="18"/>
      <w:szCs w:val="18"/>
    </w:rPr>
  </w:style>
  <w:style w:type="paragraph" w:styleId="3">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qFormat/>
    <w:uiPriority w:val="0"/>
    <w:rPr>
      <w:color w:val="0000FF"/>
      <w:u w:val="single"/>
    </w:rPr>
  </w:style>
  <w:style w:type="paragraph" w:customStyle="1" w:styleId="7">
    <w:name w:val="List Paragraph"/>
    <w:basedOn w:val="1"/>
    <w:qFormat/>
    <w:uiPriority w:val="34"/>
    <w:pPr>
      <w:ind w:firstLine="420" w:firstLineChars="200"/>
    </w:pPr>
  </w:style>
  <w:style w:type="paragraph" w:customStyle="1" w:styleId="8">
    <w:name w:val="正文1 Char Char Char"/>
    <w:basedOn w:val="1"/>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9">
    <w:name w:val="页眉 Char"/>
    <w:basedOn w:val="5"/>
    <w:link w:val="3"/>
    <w:semiHidden/>
    <w:qFormat/>
    <w:uiPriority w:val="99"/>
    <w:rPr>
      <w:sz w:val="18"/>
      <w:szCs w:val="18"/>
    </w:rPr>
  </w:style>
  <w:style w:type="character" w:customStyle="1" w:styleId="10">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7</TotalTime>
  <ScaleCrop>false</ScaleCrop>
  <LinksUpToDate>false</LinksUpToDate>
  <CharactersWithSpaces>0</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2017-02-03T15:31:00Z</dcterms:created>
  <dc:creator>null,null,总收发</dc:creator>
  <cp:lastModifiedBy>user</cp:lastModifiedBy>
  <cp:lastPrinted>2022-02-11T09:35:00Z</cp:lastPrinted>
  <dcterms:modified xsi:type="dcterms:W3CDTF">2023-08-22T16:07:29Z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y fmtid="{D5CDD505-2E9C-101B-9397-08002B2CF9AE}" pid="3" name="ICV">
    <vt:lpwstr>92D6774C66F64B2AABC577960E557B76_12</vt:lpwstr>
  </property>
</Properties>
</file>