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eastAsia="宋体"/>
          <w:sz w:val="52"/>
          <w:szCs w:val="52"/>
          <w:lang w:val="en-US" w:eastAsia="zh-CN"/>
        </w:rPr>
      </w:pPr>
      <w:r>
        <w:rPr>
          <w:rFonts w:hint="eastAsia"/>
          <w:sz w:val="52"/>
          <w:szCs w:val="52"/>
          <w:lang w:val="en-US" w:eastAsia="zh-CN"/>
        </w:rPr>
        <w:t>2022年三亚市天涯区发展和改革委员会部门</w:t>
      </w:r>
      <w:r>
        <w:rPr>
          <w:rFonts w:hint="eastAsia"/>
          <w:sz w:val="52"/>
          <w:szCs w:val="52"/>
        </w:rPr>
        <w:t>预算</w:t>
      </w:r>
      <w:r>
        <w:rPr>
          <w:rFonts w:hint="eastAsia"/>
          <w:sz w:val="52"/>
          <w:szCs w:val="52"/>
          <w:lang w:val="en-US" w:eastAsia="zh-CN"/>
        </w:rPr>
        <w:t xml:space="preserve"> </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rPr>
          <w:rFonts w:ascii="黑体" w:hAnsi="黑体" w:eastAsia="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三亚市天涯区发展和改革委员会部门</w:t>
      </w:r>
      <w:r>
        <w:rPr>
          <w:rFonts w:hint="eastAsia" w:ascii="黑体" w:hAnsi="黑体" w:eastAsia="黑体"/>
          <w:sz w:val="32"/>
          <w:szCs w:val="32"/>
        </w:rPr>
        <w:t>概况</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7"/>
        <w:numPr>
          <w:ilvl w:val="0"/>
          <w:numId w:val="1"/>
        </w:numPr>
        <w:ind w:firstLineChars="0"/>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2022年</w:t>
      </w:r>
    </w:p>
    <w:p>
      <w:pPr>
        <w:pStyle w:val="7"/>
        <w:numPr>
          <w:ilvl w:val="0"/>
          <w:numId w:val="0"/>
        </w:numPr>
        <w:ind w:leftChars="0"/>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预算表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三亚市天涯区发展和改革委员会</w:t>
      </w:r>
      <w:r>
        <w:rPr>
          <w:rFonts w:hint="eastAsia" w:ascii="黑体" w:hAnsi="黑体" w:eastAsia="黑体" w:cs="黑体"/>
          <w:sz w:val="32"/>
          <w:szCs w:val="32"/>
          <w:lang w:val="en-US" w:eastAsia="zh-CN"/>
        </w:rPr>
        <w:t xml:space="preserve">部门2022年   </w:t>
      </w:r>
    </w:p>
    <w:p>
      <w:pPr>
        <w:pStyle w:val="7"/>
        <w:numPr>
          <w:ilvl w:val="0"/>
          <w:numId w:val="0"/>
        </w:numPr>
        <w:ind w:leftChars="0"/>
        <w:jc w:val="left"/>
        <w:rPr>
          <w:rFonts w:hint="eastAsia" w:ascii="黑体" w:hAnsi="黑体" w:eastAsia="黑体" w:cs="黑体"/>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预算情况说明</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名词解释</w:t>
      </w: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7"/>
        <w:numPr>
          <w:ilvl w:val="0"/>
          <w:numId w:val="4"/>
        </w:numPr>
        <w:ind w:firstLineChars="0"/>
        <w:jc w:val="center"/>
        <w:rPr>
          <w:rFonts w:ascii="仿宋_GB2312" w:hAnsi="仿宋_GB2312" w:eastAsia="仿宋_GB2312" w:cs="仿宋_GB2312"/>
          <w:sz w:val="32"/>
          <w:szCs w:val="32"/>
        </w:rPr>
      </w:pP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rPr>
        <w:t>概</w:t>
      </w:r>
      <w:r>
        <w:rPr>
          <w:rFonts w:hint="eastAsia" w:ascii="黑体" w:hAnsi="黑体" w:eastAsia="黑体"/>
          <w:sz w:val="32"/>
          <w:szCs w:val="32"/>
        </w:rPr>
        <w:t>况</w:t>
      </w:r>
    </w:p>
    <w:p>
      <w:pPr>
        <w:jc w:val="left"/>
        <w:rPr>
          <w:rFonts w:ascii="仿宋_GB2312" w:hAnsi="仿宋_GB2312" w:eastAsia="仿宋_GB2312" w:cs="仿宋_GB2312"/>
          <w:sz w:val="32"/>
          <w:szCs w:val="32"/>
        </w:rPr>
      </w:pPr>
    </w:p>
    <w:p>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三亚市天涯区发展和改革委员会隶属天涯区人民政府，正科级政府行政单位。主要职责：</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（一）贯彻执行中央及省、市有关经济发展、商务、价格审批等行政工作的方针、政策；依法拟定并组织实施本区经济发展、商务、价格审批等行政工作的规划和措施。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（二）负责监测、预测经济和社会发展态势，组织实施预测预警和信息引导；提出宏观调控政策和建议，协调解决经济运行中的重大问题；负责国民经济动员相关工作；定时向区人大报告计划执行情况。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（三）指导协调本区总体改革，参与拟订本区经济、社会领域的体制改革方案和相关配套措施，会同有关部门研究本区相关的重大问题。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四）负责本区固定资产投资的宏观管理，提出全社会固定资产投资规模和投资结构的调控目标、政策措施。按权限负责区本级财政资金（不包括融资）的政府投资建设项目审核、审批；按权限负责本区社会投资项目的审查、备案；参与项目建设的监督与管理；监督指导本区招投标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（五）指导协调经济结构战略性调整，协调平衡第一、二、三产业发展；负责本区社会发展与国民经济发展的规划和政策衔接，协调经济和社会发展。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六）组织实施本区可持续发展战略；会同有关部门综合协调本区城市空间设计规划、土地利用规划和经济社会发展规划；参与编制生态建设、环境保护规划；组织拟定农村经济发展规划、农林水利基本建设和资源开发与综合利用规划；协调生态建设、能源资源节约和综合利用的重大问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（七）负责本区服务业发展工作，指导协调本区服务业相关部门；协调推动服务业重点项目建设；指导协调社会应急处置体系中的物资保障工作，会同有关部门管理区内重要商品物资和能源方面的战略储备。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八）指导本区流通产业结构调整、商贸服务和社区商业发展、商贸中小企业发展；组织实施流通标准化工作；指导发展连锁经营、商业特许经营、物流配送、离岛免税和离境退税、电子商务等现代化流通方式；负责协调联系市级贸促会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（九）负责本区商业网点、重要商品市场、重要生产资料的流通管理；配合生活必需品市场供应应急管理工作；负责本区的市场运行监测分析，负责鲜活农产品直供直销、冷链物流、农超对接等工作。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负责牵头协调本区整顿和规范市场经济秩序工作；负责单用途商业预付卡管理工作；参与组织打击侵犯知识产权、假冒伪劣商品、商业欺诈等扰乱市场秩序的行为；负责本区商贸行业诚信建设；负责本区价格监督检查与价格服务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（十一）负责本区招商引资促进工作；负责对重大招商项目和重点企业的跟踪服务，组织实施招商引资奖励，提供投资服务，受理有关投资投诉；推进投资信息平台建设和区域经济合作。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二）负责本区商贸行业的规划建设和管理，负责本区的农贸市场升级改造，负责美容美发行业、家政服务、洗染业、商业特许经营、旧电器电子产品流通的监督管理，负责本区再生资源社区回收站（点）的规划、建设与管理；指导本区各种商业企业的依法规范经营；负责本区商贸业的安全生产、食品安全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（十三）按权限负责本区发展和改革、商务、价格领域的行政许可事项；负责相关领域行政诉讼的应诉工作；组织实施相关领域执法检查，查处有关违法行为。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（十四）负责本区发展和改革、商务信息化管理工作；负责开展发展和改革、商务信息数据的统计、分析、通报、评估。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（十五）承办区委区政府和上级部门交办的其他工作任务等。</w:t>
      </w:r>
    </w:p>
    <w:p>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纳入三亚市天涯区发展和改革委员会2022年度部门预算编制范围的二级预算单位包括：</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default"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1.三亚市天涯区发展和改革委员会本级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firstLineChars="20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三亚市天涯区投资服务和统计信息中心</w:t>
      </w:r>
    </w:p>
    <w:p>
      <w:pPr>
        <w:rPr>
          <w:rFonts w:hint="eastAsia" w:ascii="黑体" w:hAnsi="黑体" w:eastAsia="黑体" w:cs="黑体"/>
          <w:sz w:val="32"/>
          <w:szCs w:val="32"/>
          <w:lang w:val="en-US" w:eastAsia="zh-CN"/>
        </w:rPr>
      </w:pPr>
      <w:r>
        <w:rPr>
          <w:rFonts w:hint="eastAsia" w:ascii="黑体" w:hAnsi="黑体" w:eastAsia="黑体"/>
          <w:sz w:val="32"/>
          <w:szCs w:val="32"/>
          <w:lang w:val="en-US" w:eastAsia="zh-CN"/>
        </w:rPr>
        <w:t xml:space="preserve">   </w:t>
      </w: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p>
    <w:p>
      <w:pPr>
        <w:ind w:firstLine="640" w:firstLineChars="200"/>
        <w:rPr>
          <w:rFonts w:ascii="黑体" w:hAnsi="黑体" w:eastAsia="黑体"/>
          <w:sz w:val="32"/>
          <w:szCs w:val="32"/>
        </w:rPr>
      </w:pPr>
      <w:r>
        <w:rPr>
          <w:rFonts w:hint="eastAsia" w:ascii="黑体" w:hAnsi="黑体" w:eastAsia="黑体" w:cs="黑体"/>
          <w:sz w:val="32"/>
          <w:szCs w:val="32"/>
          <w:lang w:val="en-US" w:eastAsia="zh-CN"/>
        </w:rPr>
        <w:t xml:space="preserve">         年部门</w:t>
      </w:r>
      <w:r>
        <w:rPr>
          <w:rFonts w:hint="eastAsia" w:ascii="黑体" w:hAnsi="黑体" w:eastAsia="黑体" w:cs="黑体"/>
          <w:sz w:val="32"/>
          <w:szCs w:val="32"/>
        </w:rPr>
        <w:t>预算表</w:t>
      </w: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（此部分内容即为部门或单位预算公开表）</w:t>
      </w:r>
    </w:p>
    <w:p>
      <w:pPr>
        <w:rPr>
          <w:rFonts w:ascii="黑体" w:hAnsi="黑体" w:eastAsia="黑体"/>
          <w:sz w:val="32"/>
          <w:szCs w:val="32"/>
        </w:rPr>
      </w:pPr>
    </w:p>
    <w:p>
      <w:pPr>
        <w:ind w:firstLine="480" w:firstLineChars="150"/>
        <w:rPr>
          <w:rFonts w:hint="eastAsia" w:ascii="黑体" w:hAnsi="黑体" w:eastAsia="黑体" w:cs="黑体"/>
          <w:sz w:val="32"/>
          <w:szCs w:val="32"/>
          <w:lang w:val="en-US" w:eastAsia="zh-CN"/>
        </w:rPr>
      </w:pPr>
      <w:r>
        <w:rPr>
          <w:rFonts w:hint="eastAsia" w:ascii="黑体" w:hAnsi="黑体" w:eastAsia="黑体"/>
          <w:sz w:val="32"/>
          <w:szCs w:val="32"/>
        </w:rPr>
        <w:t xml:space="preserve">第三部分  </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p>
    <w:p>
      <w:pPr>
        <w:ind w:firstLine="480" w:firstLineChars="150"/>
        <w:rPr>
          <w:rFonts w:hint="eastAsia" w:ascii="黑体" w:hAnsi="黑体" w:eastAsia="黑体" w:cs="黑体"/>
          <w:sz w:val="32"/>
          <w:szCs w:val="32"/>
        </w:rPr>
      </w:pPr>
      <w:r>
        <w:rPr>
          <w:rFonts w:hint="eastAsia" w:ascii="黑体" w:hAnsi="黑体" w:eastAsia="黑体" w:cs="黑体"/>
          <w:sz w:val="32"/>
          <w:szCs w:val="32"/>
          <w:lang w:val="en-US" w:eastAsia="zh-CN"/>
        </w:rPr>
        <w:t xml:space="preserve">          年</w:t>
      </w:r>
      <w:r>
        <w:rPr>
          <w:rFonts w:hint="eastAsia" w:ascii="黑体" w:hAnsi="黑体" w:eastAsia="黑体" w:cs="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r>
        <w:rPr>
          <w:rFonts w:hint="eastAsia" w:ascii="黑体" w:hAnsi="黑体" w:eastAsia="黑体" w:cs="黑体"/>
          <w:sz w:val="32"/>
          <w:szCs w:val="32"/>
        </w:rPr>
        <w:t>年</w:t>
      </w:r>
      <w:r>
        <w:rPr>
          <w:rFonts w:hint="eastAsia" w:ascii="黑体" w:hAnsi="黑体" w:eastAsia="黑体"/>
          <w:sz w:val="32"/>
          <w:szCs w:val="32"/>
        </w:rPr>
        <w:t>财政拨款收支预算情况的总体说明</w:t>
      </w:r>
    </w:p>
    <w:p>
      <w:pPr>
        <w:widowControl/>
        <w:pBdr>
          <w:top w:val="none" w:color="auto" w:sz="0" w:space="0"/>
          <w:left w:val="none" w:color="auto" w:sz="0" w:space="0"/>
          <w:bottom w:val="none" w:color="auto" w:sz="0" w:space="0"/>
          <w:right w:val="none" w:color="auto" w:sz="0" w:space="0"/>
        </w:pBdr>
        <w:spacing w:after="150" w:line="578" w:lineRule="atLeast"/>
        <w:ind w:firstLine="640" w:firstLineChars="0"/>
        <w:jc w:val="left"/>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三亚市天涯区发展和改革委员会部门</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973.28</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64.76</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910.51</w:t>
      </w:r>
      <w:r>
        <w:rPr>
          <w:rFonts w:hint="eastAsia" w:ascii="仿宋_GB2312" w:hAnsi="黑体" w:eastAsia="仿宋_GB2312"/>
          <w:sz w:val="32"/>
          <w:szCs w:val="32"/>
        </w:rPr>
        <w:t>万元、</w:t>
      </w:r>
      <w:r>
        <w:rPr>
          <w:rFonts w:hint="eastAsia" w:ascii="仿宋_GB2312" w:hAnsi="宋体" w:eastAsia="仿宋_GB2312" w:cs="仿宋_GB2312"/>
          <w:i w:val="0"/>
          <w:caps w:val="0"/>
          <w:color w:val="222222"/>
          <w:spacing w:val="0"/>
          <w:kern w:val="0"/>
          <w:sz w:val="32"/>
          <w:szCs w:val="32"/>
          <w:lang w:val="en-US" w:eastAsia="zh-CN" w:bidi="ar"/>
        </w:rPr>
        <w:t>社会保障和就业支出19.90万元、卫生健康支出26.89万元、农林水支出64.76万元、住房保障支出15.98万元，结转下年0万元。</w:t>
      </w:r>
    </w:p>
    <w:p>
      <w:pPr>
        <w:ind w:firstLine="640"/>
        <w:jc w:val="left"/>
        <w:rPr>
          <w:rFonts w:hint="eastAsia" w:ascii="黑体" w:hAnsi="黑体" w:eastAsia="黑体" w:cs="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三亚市天涯区发展和改革委员会</w:t>
      </w:r>
      <w:r>
        <w:rPr>
          <w:rFonts w:hint="eastAsia" w:ascii="黑体" w:hAnsi="黑体" w:eastAsia="黑体" w:cs="黑体"/>
          <w:sz w:val="32"/>
          <w:szCs w:val="32"/>
          <w:lang w:val="en-US" w:eastAsia="zh-CN"/>
        </w:rPr>
        <w:t>2022</w:t>
      </w:r>
      <w:r>
        <w:rPr>
          <w:rFonts w:hint="eastAsia" w:ascii="黑体" w:hAnsi="黑体" w:eastAsia="黑体" w:cs="黑体"/>
          <w:sz w:val="32"/>
          <w:szCs w:val="32"/>
        </w:rPr>
        <w:t>年</w:t>
      </w:r>
      <w:r>
        <w:rPr>
          <w:rFonts w:hint="eastAsia" w:ascii="黑体" w:hAnsi="黑体" w:eastAsia="黑体" w:cs="黑体"/>
          <w:sz w:val="32"/>
          <w:szCs w:val="32"/>
          <w:lang w:eastAsia="zh-CN"/>
        </w:rPr>
        <w:t>部门</w:t>
      </w:r>
      <w:r>
        <w:rPr>
          <w:rFonts w:hint="eastAsia" w:ascii="黑体" w:hAnsi="黑体" w:eastAsia="黑体" w:cs="黑体"/>
          <w:sz w:val="32"/>
          <w:szCs w:val="32"/>
        </w:rPr>
        <w:t>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三亚市天涯区发展和改革委员会部门</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398.75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预算增加规划编制与课题研究、社会信用体系建设、项目投资评审、电力运行及营商环境等工作经费。</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一般公共服务（类）支出910.51万元，占87.71%；社会保障和就业（类）支出19.90万元，占1.92%；卫生健康（类）支出26.89万元，占2.59%；农林水（类）支出64.76万元，6.24占%；住房保障（类）支出15.98万元，占1.54%。</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宋体" w:eastAsia="仿宋_GB2312" w:cs="仿宋_GB2312"/>
          <w:i w:val="0"/>
          <w:caps w:val="0"/>
          <w:color w:val="222222"/>
          <w:spacing w:val="0"/>
          <w:kern w:val="0"/>
          <w:sz w:val="32"/>
          <w:szCs w:val="32"/>
          <w:lang w:val="en-US" w:eastAsia="zh-CN" w:bidi="ar"/>
        </w:rPr>
        <w:t>1.一般公共服务（类）发展与改革事务（款）行政运行（项）2022年预算数为189.65万元，比上年预算数增加8.42万元，主要是人员正常晋升，人员经费增加。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 一般公共服务（类）发展与改革事务（款）一般行政管理事务（项）2022年预算数为253.36万元，比上年预算数增加26.39万元，主要是购买劳务服务人员工作经费增加。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3、一般公共服务（类）发展与改革事务（款）经济体制改革研究（项）2022年预算数为197.50万元，比上年预算数增加92.5万元，主要是2022年开展天涯区区域节能评估、能源双控及信用环境战略问题等工作。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rPr>
        <w:t>4、一般公共服务（类）发展</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改革事务（款）物价管理（项）202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年预算数为10万元，</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上年预算数</w:t>
      </w:r>
      <w:r>
        <w:rPr>
          <w:rFonts w:hint="eastAsia" w:ascii="仿宋_GB2312" w:hAnsi="宋体" w:eastAsia="仿宋_GB2312" w:cs="仿宋_GB2312"/>
          <w:i w:val="0"/>
          <w:caps w:val="0"/>
          <w:color w:val="222222"/>
          <w:spacing w:val="0"/>
          <w:sz w:val="32"/>
          <w:szCs w:val="32"/>
          <w:lang w:eastAsia="zh-CN"/>
        </w:rPr>
        <w:t>持平</w:t>
      </w:r>
      <w:r>
        <w:rPr>
          <w:rFonts w:hint="eastAsia" w:ascii="仿宋_GB2312" w:hAnsi="宋体" w:eastAsia="仿宋_GB2312" w:cs="仿宋_GB2312"/>
          <w:i w:val="0"/>
          <w:caps w:val="0"/>
          <w:color w:val="222222"/>
          <w:spacing w:val="0"/>
          <w:sz w:val="32"/>
          <w:szCs w:val="32"/>
        </w:rPr>
        <w:t>，主要是</w:t>
      </w:r>
      <w:r>
        <w:rPr>
          <w:rFonts w:hint="eastAsia" w:ascii="仿宋_GB2312" w:hAnsi="宋体" w:eastAsia="仿宋_GB2312" w:cs="仿宋_GB2312"/>
          <w:i w:val="0"/>
          <w:caps w:val="0"/>
          <w:color w:val="222222"/>
          <w:spacing w:val="0"/>
          <w:sz w:val="32"/>
          <w:szCs w:val="32"/>
          <w:lang w:eastAsia="zh-CN"/>
        </w:rPr>
        <w:t>开展</w:t>
      </w:r>
      <w:r>
        <w:rPr>
          <w:rFonts w:hint="eastAsia" w:ascii="仿宋_GB2312" w:hAnsi="宋体" w:eastAsia="仿宋_GB2312" w:cs="仿宋_GB2312"/>
          <w:i w:val="0"/>
          <w:caps w:val="0"/>
          <w:color w:val="222222"/>
          <w:spacing w:val="0"/>
          <w:sz w:val="32"/>
          <w:szCs w:val="32"/>
        </w:rPr>
        <w:t>物价管理工作。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5</w:t>
      </w:r>
      <w:r>
        <w:rPr>
          <w:rFonts w:hint="eastAsia" w:ascii="仿宋_GB2312" w:hAnsi="宋体" w:eastAsia="仿宋_GB2312" w:cs="仿宋_GB2312"/>
          <w:i w:val="0"/>
          <w:caps w:val="0"/>
          <w:color w:val="222222"/>
          <w:spacing w:val="0"/>
          <w:sz w:val="32"/>
          <w:szCs w:val="32"/>
        </w:rPr>
        <w:t>、一般公共服务（类）发展</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改革事务（款）</w:t>
      </w:r>
      <w:r>
        <w:rPr>
          <w:rFonts w:hint="eastAsia" w:ascii="仿宋_GB2312" w:hAnsi="宋体" w:eastAsia="仿宋_GB2312" w:cs="仿宋_GB2312"/>
          <w:i w:val="0"/>
          <w:caps w:val="0"/>
          <w:color w:val="222222"/>
          <w:spacing w:val="0"/>
          <w:sz w:val="32"/>
          <w:szCs w:val="32"/>
          <w:lang w:eastAsia="zh-CN"/>
        </w:rPr>
        <w:t>事业运行</w:t>
      </w:r>
      <w:r>
        <w:rPr>
          <w:rFonts w:hint="eastAsia" w:ascii="仿宋_GB2312" w:hAnsi="宋体" w:eastAsia="仿宋_GB2312" w:cs="仿宋_GB2312"/>
          <w:i w:val="0"/>
          <w:caps w:val="0"/>
          <w:color w:val="222222"/>
          <w:spacing w:val="0"/>
          <w:sz w:val="32"/>
          <w:szCs w:val="32"/>
        </w:rPr>
        <w:t>（项）202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5</w:t>
      </w:r>
      <w:r>
        <w:rPr>
          <w:rFonts w:hint="eastAsia" w:ascii="仿宋_GB2312" w:hAnsi="宋体" w:eastAsia="仿宋_GB2312" w:cs="仿宋_GB2312"/>
          <w:i w:val="0"/>
          <w:caps w:val="0"/>
          <w:color w:val="222222"/>
          <w:spacing w:val="0"/>
          <w:sz w:val="32"/>
          <w:szCs w:val="32"/>
        </w:rPr>
        <w:t>万元，</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上年预算数</w:t>
      </w:r>
      <w:r>
        <w:rPr>
          <w:rFonts w:hint="eastAsia" w:ascii="仿宋_GB2312" w:hAnsi="宋体" w:eastAsia="仿宋_GB2312" w:cs="仿宋_GB2312"/>
          <w:i w:val="0"/>
          <w:caps w:val="0"/>
          <w:color w:val="222222"/>
          <w:spacing w:val="0"/>
          <w:sz w:val="32"/>
          <w:szCs w:val="32"/>
          <w:lang w:eastAsia="zh-CN"/>
        </w:rPr>
        <w:t>持平</w:t>
      </w:r>
      <w:r>
        <w:rPr>
          <w:rFonts w:hint="eastAsia" w:ascii="仿宋_GB2312" w:hAnsi="宋体" w:eastAsia="仿宋_GB2312" w:cs="仿宋_GB2312"/>
          <w:i w:val="0"/>
          <w:caps w:val="0"/>
          <w:color w:val="222222"/>
          <w:spacing w:val="0"/>
          <w:sz w:val="32"/>
          <w:szCs w:val="32"/>
        </w:rPr>
        <w:t>，主要是</w:t>
      </w:r>
      <w:r>
        <w:rPr>
          <w:rFonts w:hint="eastAsia" w:ascii="仿宋_GB2312" w:hAnsi="宋体" w:eastAsia="仿宋_GB2312" w:cs="仿宋_GB2312"/>
          <w:i w:val="0"/>
          <w:caps w:val="0"/>
          <w:color w:val="222222"/>
          <w:spacing w:val="0"/>
          <w:sz w:val="32"/>
          <w:szCs w:val="32"/>
          <w:lang w:eastAsia="zh-CN"/>
        </w:rPr>
        <w:t>保障投资中心正常运行工作经费</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6</w:t>
      </w:r>
      <w:r>
        <w:rPr>
          <w:rFonts w:hint="eastAsia" w:ascii="仿宋_GB2312" w:hAnsi="宋体" w:eastAsia="仿宋_GB2312" w:cs="仿宋_GB2312"/>
          <w:i w:val="0"/>
          <w:caps w:val="0"/>
          <w:color w:val="222222"/>
          <w:spacing w:val="0"/>
          <w:sz w:val="32"/>
          <w:szCs w:val="32"/>
        </w:rPr>
        <w:t>、一般公共服务（类）发展</w:t>
      </w:r>
      <w:r>
        <w:rPr>
          <w:rFonts w:hint="eastAsia" w:ascii="仿宋_GB2312" w:hAnsi="宋体" w:eastAsia="仿宋_GB2312" w:cs="仿宋_GB2312"/>
          <w:i w:val="0"/>
          <w:caps w:val="0"/>
          <w:color w:val="222222"/>
          <w:spacing w:val="0"/>
          <w:sz w:val="32"/>
          <w:szCs w:val="32"/>
          <w:lang w:eastAsia="zh-CN"/>
        </w:rPr>
        <w:t>与</w:t>
      </w:r>
      <w:r>
        <w:rPr>
          <w:rFonts w:hint="eastAsia" w:ascii="仿宋_GB2312" w:hAnsi="宋体" w:eastAsia="仿宋_GB2312" w:cs="仿宋_GB2312"/>
          <w:i w:val="0"/>
          <w:caps w:val="0"/>
          <w:color w:val="222222"/>
          <w:spacing w:val="0"/>
          <w:sz w:val="32"/>
          <w:szCs w:val="32"/>
        </w:rPr>
        <w:t>改革事务（款）其他发展与改革事务支出（项）202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255</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lang w:val="en-US" w:eastAsia="zh-CN"/>
        </w:rPr>
        <w:t>199</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eastAsia="zh-CN"/>
        </w:rPr>
        <w:t>项目投资评审、</w:t>
      </w:r>
      <w:r>
        <w:rPr>
          <w:rFonts w:hint="eastAsia" w:ascii="仿宋_GB2312" w:hAnsi="黑体" w:eastAsia="仿宋_GB2312"/>
          <w:sz w:val="32"/>
          <w:szCs w:val="32"/>
          <w:lang w:eastAsia="zh-CN"/>
        </w:rPr>
        <w:t>电力运行及营商环境</w:t>
      </w:r>
      <w:r>
        <w:rPr>
          <w:rFonts w:hint="eastAsia" w:ascii="仿宋_GB2312" w:hAnsi="宋体" w:eastAsia="仿宋_GB2312" w:cs="仿宋_GB2312"/>
          <w:i w:val="0"/>
          <w:caps w:val="0"/>
          <w:color w:val="222222"/>
          <w:spacing w:val="0"/>
          <w:sz w:val="32"/>
          <w:szCs w:val="32"/>
        </w:rPr>
        <w:t>相关</w:t>
      </w:r>
      <w:r>
        <w:rPr>
          <w:rFonts w:hint="eastAsia" w:ascii="仿宋_GB2312" w:hAnsi="宋体" w:eastAsia="仿宋_GB2312" w:cs="仿宋_GB2312"/>
          <w:i w:val="0"/>
          <w:caps w:val="0"/>
          <w:color w:val="222222"/>
          <w:spacing w:val="0"/>
          <w:sz w:val="32"/>
          <w:szCs w:val="32"/>
          <w:lang w:eastAsia="zh-CN"/>
        </w:rPr>
        <w:t>工作</w:t>
      </w:r>
      <w:r>
        <w:rPr>
          <w:rFonts w:hint="eastAsia" w:ascii="仿宋_GB2312" w:hAnsi="宋体" w:eastAsia="仿宋_GB2312" w:cs="仿宋_GB2312"/>
          <w:i w:val="0"/>
          <w:caps w:val="0"/>
          <w:color w:val="222222"/>
          <w:spacing w:val="0"/>
          <w:sz w:val="32"/>
          <w:szCs w:val="32"/>
        </w:rPr>
        <w:t>经费</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lang w:val="en-US" w:eastAsia="zh-CN"/>
        </w:rPr>
        <w:t>7</w:t>
      </w:r>
      <w:r>
        <w:rPr>
          <w:rFonts w:hint="eastAsia" w:ascii="仿宋_GB2312" w:hAnsi="宋体" w:eastAsia="仿宋_GB2312" w:cs="仿宋_GB2312"/>
          <w:i w:val="0"/>
          <w:caps w:val="0"/>
          <w:color w:val="222222"/>
          <w:spacing w:val="0"/>
          <w:sz w:val="32"/>
          <w:szCs w:val="32"/>
        </w:rPr>
        <w:t>、社会保障和就业支出（类）行政事业单位养老支出（款）机关事业单位基本养老保险缴费支出（项）202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19.90</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lang w:val="en-US" w:eastAsia="zh-CN"/>
        </w:rPr>
        <w:t>0.52</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eastAsia="zh-CN"/>
        </w:rPr>
        <w:t>调整社保基数</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lang w:val="en-US" w:eastAsia="zh-CN"/>
        </w:rPr>
        <w:t>8</w:t>
      </w:r>
      <w:r>
        <w:rPr>
          <w:rFonts w:hint="eastAsia" w:ascii="仿宋_GB2312" w:hAnsi="宋体" w:eastAsia="仿宋_GB2312" w:cs="仿宋_GB2312"/>
          <w:i w:val="0"/>
          <w:caps w:val="0"/>
          <w:color w:val="222222"/>
          <w:spacing w:val="0"/>
          <w:sz w:val="32"/>
          <w:szCs w:val="32"/>
        </w:rPr>
        <w:t>、卫生健康支出（类）行政事业单位医疗（款）</w:t>
      </w:r>
      <w:r>
        <w:rPr>
          <w:rFonts w:hint="eastAsia" w:ascii="仿宋_GB2312" w:hAnsi="宋体" w:eastAsia="仿宋_GB2312" w:cs="仿宋_GB2312"/>
          <w:i w:val="0"/>
          <w:caps w:val="0"/>
          <w:color w:val="222222"/>
          <w:spacing w:val="0"/>
          <w:sz w:val="32"/>
          <w:szCs w:val="32"/>
          <w:lang w:eastAsia="zh-CN"/>
        </w:rPr>
        <w:t>行政</w:t>
      </w:r>
      <w:r>
        <w:rPr>
          <w:rFonts w:hint="eastAsia" w:ascii="仿宋_GB2312" w:hAnsi="宋体" w:eastAsia="仿宋_GB2312" w:cs="仿宋_GB2312"/>
          <w:i w:val="0"/>
          <w:caps w:val="0"/>
          <w:color w:val="222222"/>
          <w:spacing w:val="0"/>
          <w:sz w:val="32"/>
          <w:szCs w:val="32"/>
        </w:rPr>
        <w:t>单位医疗（项）202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10.27</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减少</w:t>
      </w:r>
      <w:r>
        <w:rPr>
          <w:rFonts w:hint="eastAsia" w:ascii="仿宋_GB2312" w:hAnsi="宋体" w:eastAsia="仿宋_GB2312" w:cs="仿宋_GB2312"/>
          <w:i w:val="0"/>
          <w:caps w:val="0"/>
          <w:color w:val="222222"/>
          <w:spacing w:val="0"/>
          <w:sz w:val="32"/>
          <w:szCs w:val="32"/>
          <w:lang w:val="en-US" w:eastAsia="zh-CN"/>
        </w:rPr>
        <w:t>0.02</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eastAsia="zh-CN"/>
        </w:rPr>
        <w:t>调整社保</w:t>
      </w:r>
      <w:r>
        <w:rPr>
          <w:rFonts w:hint="eastAsia" w:ascii="仿宋_GB2312" w:hAnsi="宋体" w:eastAsia="仿宋_GB2312" w:cs="仿宋_GB2312"/>
          <w:i w:val="0"/>
          <w:caps w:val="0"/>
          <w:color w:val="222222"/>
          <w:spacing w:val="0"/>
          <w:sz w:val="32"/>
          <w:szCs w:val="32"/>
          <w:lang w:val="en-US" w:eastAsia="zh-CN"/>
        </w:rPr>
        <w:t>基数</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9</w:t>
      </w:r>
      <w:r>
        <w:rPr>
          <w:rFonts w:hint="eastAsia" w:ascii="仿宋_GB2312" w:hAnsi="宋体" w:eastAsia="仿宋_GB2312" w:cs="仿宋_GB2312"/>
          <w:i w:val="0"/>
          <w:caps w:val="0"/>
          <w:color w:val="222222"/>
          <w:spacing w:val="0"/>
          <w:sz w:val="32"/>
          <w:szCs w:val="32"/>
        </w:rPr>
        <w:t>、卫生健康支出（类）行政事业单位医疗（款）公务员医疗补助（项）202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16.62</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lang w:val="en-US" w:eastAsia="zh-CN"/>
        </w:rPr>
        <w:t>1.13</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eastAsia="zh-CN"/>
        </w:rPr>
        <w:t>调整公务员医疗补助基数</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仿宋_GB2312" w:hAnsi="宋体" w:eastAsia="仿宋_GB2312" w:cs="仿宋_GB2312"/>
          <w:i w:val="0"/>
          <w:caps w:val="0"/>
          <w:color w:val="222222"/>
          <w:spacing w:val="0"/>
          <w:sz w:val="32"/>
          <w:szCs w:val="32"/>
        </w:rPr>
      </w:pPr>
      <w:r>
        <w:rPr>
          <w:rFonts w:hint="eastAsia" w:ascii="仿宋_GB2312" w:hAnsi="宋体" w:eastAsia="仿宋_GB2312" w:cs="仿宋_GB2312"/>
          <w:i w:val="0"/>
          <w:caps w:val="0"/>
          <w:color w:val="222222"/>
          <w:spacing w:val="0"/>
          <w:sz w:val="32"/>
          <w:szCs w:val="32"/>
          <w:lang w:val="en-US" w:eastAsia="zh-CN"/>
        </w:rPr>
        <w:t>9</w:t>
      </w:r>
      <w:r>
        <w:rPr>
          <w:rFonts w:hint="eastAsia" w:ascii="仿宋_GB2312" w:hAnsi="宋体" w:eastAsia="仿宋_GB2312" w:cs="仿宋_GB2312"/>
          <w:i w:val="0"/>
          <w:caps w:val="0"/>
          <w:color w:val="222222"/>
          <w:spacing w:val="0"/>
          <w:sz w:val="32"/>
          <w:szCs w:val="32"/>
        </w:rPr>
        <w:t>、</w:t>
      </w:r>
      <w:r>
        <w:rPr>
          <w:rFonts w:hint="eastAsia" w:ascii="仿宋_GB2312" w:hAnsi="宋体" w:eastAsia="仿宋_GB2312" w:cs="仿宋_GB2312"/>
          <w:i w:val="0"/>
          <w:caps w:val="0"/>
          <w:color w:val="222222"/>
          <w:spacing w:val="0"/>
          <w:sz w:val="32"/>
          <w:szCs w:val="32"/>
          <w:lang w:eastAsia="zh-CN"/>
        </w:rPr>
        <w:t>农林水</w:t>
      </w:r>
      <w:r>
        <w:rPr>
          <w:rFonts w:hint="eastAsia" w:ascii="仿宋_GB2312" w:hAnsi="宋体" w:eastAsia="仿宋_GB2312" w:cs="仿宋_GB2312"/>
          <w:i w:val="0"/>
          <w:caps w:val="0"/>
          <w:color w:val="222222"/>
          <w:spacing w:val="0"/>
          <w:sz w:val="32"/>
          <w:szCs w:val="32"/>
        </w:rPr>
        <w:t>支出（类）</w:t>
      </w:r>
      <w:r>
        <w:rPr>
          <w:rFonts w:hint="eastAsia" w:ascii="仿宋_GB2312" w:hAnsi="宋体" w:eastAsia="仿宋_GB2312" w:cs="仿宋_GB2312"/>
          <w:i w:val="0"/>
          <w:caps w:val="0"/>
          <w:color w:val="222222"/>
          <w:spacing w:val="0"/>
          <w:sz w:val="32"/>
          <w:szCs w:val="32"/>
          <w:lang w:eastAsia="zh-CN"/>
        </w:rPr>
        <w:t>其他农林水支出</w:t>
      </w:r>
      <w:r>
        <w:rPr>
          <w:rFonts w:hint="eastAsia" w:ascii="仿宋_GB2312" w:hAnsi="宋体" w:eastAsia="仿宋_GB2312" w:cs="仿宋_GB2312"/>
          <w:i w:val="0"/>
          <w:caps w:val="0"/>
          <w:color w:val="222222"/>
          <w:spacing w:val="0"/>
          <w:sz w:val="32"/>
          <w:szCs w:val="32"/>
        </w:rPr>
        <w:t>（款）</w:t>
      </w:r>
      <w:r>
        <w:rPr>
          <w:rFonts w:hint="eastAsia" w:ascii="仿宋_GB2312" w:hAnsi="宋体" w:eastAsia="仿宋_GB2312" w:cs="仿宋_GB2312"/>
          <w:i w:val="0"/>
          <w:caps w:val="0"/>
          <w:color w:val="222222"/>
          <w:spacing w:val="0"/>
          <w:sz w:val="32"/>
          <w:szCs w:val="32"/>
          <w:lang w:eastAsia="zh-CN"/>
        </w:rPr>
        <w:t>其他农林水支出</w:t>
      </w:r>
      <w:r>
        <w:rPr>
          <w:rFonts w:hint="eastAsia" w:ascii="仿宋_GB2312" w:hAnsi="宋体" w:eastAsia="仿宋_GB2312" w:cs="仿宋_GB2312"/>
          <w:i w:val="0"/>
          <w:caps w:val="0"/>
          <w:color w:val="222222"/>
          <w:spacing w:val="0"/>
          <w:sz w:val="32"/>
          <w:szCs w:val="32"/>
        </w:rPr>
        <w:t>（项）202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64.76</w:t>
      </w:r>
      <w:r>
        <w:rPr>
          <w:rFonts w:hint="eastAsia" w:ascii="仿宋_GB2312" w:hAnsi="宋体" w:eastAsia="仿宋_GB2312" w:cs="仿宋_GB2312"/>
          <w:i w:val="0"/>
          <w:caps w:val="0"/>
          <w:color w:val="222222"/>
          <w:spacing w:val="0"/>
          <w:sz w:val="32"/>
          <w:szCs w:val="32"/>
        </w:rPr>
        <w:t>万元，比上年预算数增加</w:t>
      </w:r>
      <w:r>
        <w:rPr>
          <w:rFonts w:hint="eastAsia" w:ascii="仿宋_GB2312" w:hAnsi="宋体" w:eastAsia="仿宋_GB2312" w:cs="仿宋_GB2312"/>
          <w:i w:val="0"/>
          <w:caps w:val="0"/>
          <w:color w:val="222222"/>
          <w:spacing w:val="0"/>
          <w:sz w:val="32"/>
          <w:szCs w:val="32"/>
          <w:lang w:val="en-US" w:eastAsia="zh-CN"/>
        </w:rPr>
        <w:t>64.76</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val="en-US" w:eastAsia="zh-CN"/>
        </w:rPr>
        <w:t>去年无此项分类</w:t>
      </w:r>
      <w:r>
        <w:rPr>
          <w:rFonts w:hint="eastAsia" w:ascii="仿宋_GB2312" w:hAnsi="宋体" w:eastAsia="仿宋_GB2312" w:cs="仿宋_GB2312"/>
          <w:i w:val="0"/>
          <w:caps w:val="0"/>
          <w:color w:val="222222"/>
          <w:spacing w:val="0"/>
          <w:sz w:val="32"/>
          <w:szCs w:val="32"/>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sz w:val="32"/>
          <w:szCs w:val="32"/>
          <w:lang w:val="en-US" w:eastAsia="zh-CN"/>
        </w:rPr>
        <w:t>10</w:t>
      </w:r>
      <w:r>
        <w:rPr>
          <w:rFonts w:hint="eastAsia" w:ascii="仿宋_GB2312" w:hAnsi="宋体" w:eastAsia="仿宋_GB2312" w:cs="仿宋_GB2312"/>
          <w:i w:val="0"/>
          <w:caps w:val="0"/>
          <w:color w:val="222222"/>
          <w:spacing w:val="0"/>
          <w:sz w:val="32"/>
          <w:szCs w:val="32"/>
        </w:rPr>
        <w:t>、住房保障支出（类）住房改革支出（款）住房公积金（项）202</w:t>
      </w:r>
      <w:r>
        <w:rPr>
          <w:rFonts w:hint="eastAsia" w:ascii="仿宋_GB2312" w:hAnsi="宋体" w:eastAsia="仿宋_GB2312" w:cs="仿宋_GB2312"/>
          <w:i w:val="0"/>
          <w:caps w:val="0"/>
          <w:color w:val="222222"/>
          <w:spacing w:val="0"/>
          <w:sz w:val="32"/>
          <w:szCs w:val="32"/>
          <w:lang w:val="en-US" w:eastAsia="zh-CN"/>
        </w:rPr>
        <w:t>2</w:t>
      </w:r>
      <w:r>
        <w:rPr>
          <w:rFonts w:hint="eastAsia" w:ascii="仿宋_GB2312" w:hAnsi="宋体" w:eastAsia="仿宋_GB2312" w:cs="仿宋_GB2312"/>
          <w:i w:val="0"/>
          <w:caps w:val="0"/>
          <w:color w:val="222222"/>
          <w:spacing w:val="0"/>
          <w:sz w:val="32"/>
          <w:szCs w:val="32"/>
        </w:rPr>
        <w:t>年预算数为</w:t>
      </w:r>
      <w:r>
        <w:rPr>
          <w:rFonts w:hint="eastAsia" w:ascii="仿宋_GB2312" w:hAnsi="宋体" w:eastAsia="仿宋_GB2312" w:cs="仿宋_GB2312"/>
          <w:i w:val="0"/>
          <w:caps w:val="0"/>
          <w:color w:val="222222"/>
          <w:spacing w:val="0"/>
          <w:sz w:val="32"/>
          <w:szCs w:val="32"/>
          <w:lang w:val="en-US" w:eastAsia="zh-CN"/>
        </w:rPr>
        <w:t>15.98</w:t>
      </w:r>
      <w:r>
        <w:rPr>
          <w:rFonts w:hint="eastAsia" w:ascii="仿宋_GB2312" w:hAnsi="宋体" w:eastAsia="仿宋_GB2312" w:cs="仿宋_GB2312"/>
          <w:i w:val="0"/>
          <w:caps w:val="0"/>
          <w:color w:val="222222"/>
          <w:spacing w:val="0"/>
          <w:sz w:val="32"/>
          <w:szCs w:val="32"/>
        </w:rPr>
        <w:t>万元，比上年预算数</w:t>
      </w:r>
      <w:r>
        <w:rPr>
          <w:rFonts w:hint="eastAsia" w:ascii="仿宋_GB2312" w:hAnsi="宋体" w:eastAsia="仿宋_GB2312" w:cs="仿宋_GB2312"/>
          <w:i w:val="0"/>
          <w:caps w:val="0"/>
          <w:color w:val="222222"/>
          <w:spacing w:val="0"/>
          <w:sz w:val="32"/>
          <w:szCs w:val="32"/>
          <w:lang w:eastAsia="zh-CN"/>
        </w:rPr>
        <w:t>增加</w:t>
      </w:r>
      <w:r>
        <w:rPr>
          <w:rFonts w:hint="eastAsia" w:ascii="仿宋_GB2312" w:hAnsi="宋体" w:eastAsia="仿宋_GB2312" w:cs="仿宋_GB2312"/>
          <w:i w:val="0"/>
          <w:caps w:val="0"/>
          <w:color w:val="222222"/>
          <w:spacing w:val="0"/>
          <w:sz w:val="32"/>
          <w:szCs w:val="32"/>
          <w:lang w:val="en-US" w:eastAsia="zh-CN"/>
        </w:rPr>
        <w:t>1.05</w:t>
      </w:r>
      <w:r>
        <w:rPr>
          <w:rFonts w:hint="eastAsia" w:ascii="仿宋_GB2312" w:hAnsi="宋体" w:eastAsia="仿宋_GB2312" w:cs="仿宋_GB2312"/>
          <w:i w:val="0"/>
          <w:caps w:val="0"/>
          <w:color w:val="222222"/>
          <w:spacing w:val="0"/>
          <w:sz w:val="32"/>
          <w:szCs w:val="32"/>
        </w:rPr>
        <w:t>万元，主要是</w:t>
      </w:r>
      <w:r>
        <w:rPr>
          <w:rFonts w:hint="eastAsia" w:ascii="仿宋_GB2312" w:hAnsi="宋体" w:eastAsia="仿宋_GB2312" w:cs="仿宋_GB2312"/>
          <w:i w:val="0"/>
          <w:caps w:val="0"/>
          <w:color w:val="222222"/>
          <w:spacing w:val="0"/>
          <w:sz w:val="32"/>
          <w:szCs w:val="32"/>
          <w:lang w:eastAsia="zh-CN"/>
        </w:rPr>
        <w:t>调整住房公积金基数</w:t>
      </w:r>
      <w:r>
        <w:rPr>
          <w:rFonts w:hint="eastAsia" w:ascii="仿宋_GB2312" w:hAnsi="宋体" w:eastAsia="仿宋_GB2312" w:cs="仿宋_GB2312"/>
          <w:i w:val="0"/>
          <w:caps w:val="0"/>
          <w:color w:val="222222"/>
          <w:spacing w:val="0"/>
          <w:sz w:val="32"/>
          <w:szCs w:val="32"/>
        </w:rPr>
        <w:t>。</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r>
        <w:rPr>
          <w:rFonts w:hint="eastAsia" w:ascii="黑体" w:hAnsi="黑体" w:eastAsia="黑体" w:cs="黑体"/>
          <w:sz w:val="32"/>
          <w:szCs w:val="32"/>
        </w:rPr>
        <w:t>年</w:t>
      </w:r>
      <w:r>
        <w:rPr>
          <w:rFonts w:hint="eastAsia" w:ascii="黑体" w:hAnsi="黑体" w:eastAsia="黑体"/>
          <w:sz w:val="32"/>
          <w:szCs w:val="32"/>
        </w:rPr>
        <w:t>一般公共预算基本支出情况说明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三亚市天涯区发展和改革委员会部门2022年一般公共预算基本支出为252.42万元，其中：</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人员经费246.24万元，主要包括：基本工资、津贴补贴、奖金、绩效工资、机关事业单位基本养老保险缴费、职工基本医疗保险缴费、公务员医疗补助缴费、其他社会保障缴费、住房公积金、医疗费、邮电费、其他交通费用。</w:t>
      </w:r>
    </w:p>
    <w:p>
      <w:pPr>
        <w:widowControl/>
        <w:pBdr>
          <w:top w:val="none" w:color="auto" w:sz="0" w:space="0"/>
          <w:left w:val="none" w:color="auto" w:sz="0" w:space="0"/>
          <w:bottom w:val="none" w:color="auto" w:sz="0" w:space="0"/>
          <w:right w:val="none" w:color="auto" w:sz="0" w:space="0"/>
        </w:pBdr>
        <w:spacing w:after="150" w:line="578" w:lineRule="atLeast"/>
        <w:ind w:firstLine="640" w:firstLineChars="0"/>
        <w:jc w:val="left"/>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公用经费6.18万元，主要包括：办公费、培训费、工会经费。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年“三公”经费预算情况说明</w:t>
      </w:r>
    </w:p>
    <w:p>
      <w:pPr>
        <w:ind w:firstLine="630"/>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黑体" w:eastAsia="仿宋_GB2312"/>
          <w:sz w:val="32"/>
          <w:szCs w:val="32"/>
        </w:rPr>
        <w:t>（一）</w:t>
      </w: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三亚市天涯区发展和改革委员会部门2022年“三公”经费预算数为0万元，其中：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color w:val="auto"/>
          <w:sz w:val="32"/>
          <w:shd w:val="clear" w:color="auto" w:fill="FFFFFF"/>
        </w:rPr>
        <w:t>公</w:t>
      </w:r>
      <w:r>
        <w:rPr>
          <w:rFonts w:hint="eastAsia" w:ascii="Times New Roman" w:hAnsi="Times New Roman" w:eastAsia="仿宋_GB2312" w:cs="Times New Roman"/>
          <w:sz w:val="32"/>
          <w:shd w:val="clear" w:color="auto" w:fill="FFFFFF"/>
        </w:rPr>
        <w:t>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80"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黑体" w:eastAsia="仿宋_GB2312"/>
          <w:sz w:val="32"/>
          <w:szCs w:val="32"/>
        </w:rPr>
        <w:t>（二）</w:t>
      </w: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三亚市天涯区发展和改革委员会部门2022年政府性基金预算“三公”经费预算数为0元，</w:t>
      </w:r>
      <w:r>
        <w:rPr>
          <w:rFonts w:hint="default" w:ascii="仿宋_GB2312" w:hAnsi="宋体" w:eastAsia="仿宋_GB2312" w:cs="仿宋_GB2312"/>
          <w:i w:val="0"/>
          <w:caps w:val="0"/>
          <w:color w:val="222222"/>
          <w:spacing w:val="0"/>
          <w:kern w:val="0"/>
          <w:sz w:val="32"/>
          <w:szCs w:val="32"/>
          <w:lang w:val="en-US" w:eastAsia="zh-CN" w:bidi="ar"/>
        </w:rPr>
        <w:t>主要原因</w:t>
      </w:r>
      <w:r>
        <w:rPr>
          <w:rFonts w:hint="eastAsia" w:ascii="仿宋_GB2312" w:hAnsi="宋体" w:eastAsia="仿宋_GB2312" w:cs="仿宋_GB2312"/>
          <w:i w:val="0"/>
          <w:caps w:val="0"/>
          <w:color w:val="222222"/>
          <w:spacing w:val="0"/>
          <w:kern w:val="0"/>
          <w:sz w:val="32"/>
          <w:szCs w:val="32"/>
          <w:lang w:val="en-US" w:eastAsia="zh-CN" w:bidi="ar"/>
        </w:rPr>
        <w:t>是2022</w:t>
      </w:r>
      <w:r>
        <w:rPr>
          <w:rFonts w:hint="eastAsia" w:ascii="仿宋_GB2312" w:hAnsi="宋体" w:eastAsia="仿宋_GB2312" w:cs="仿宋_GB2312"/>
          <w:i w:val="0"/>
          <w:caps w:val="0"/>
          <w:color w:val="222222"/>
          <w:spacing w:val="0"/>
          <w:kern w:val="0"/>
          <w:sz w:val="32"/>
          <w:szCs w:val="32"/>
          <w:shd w:val="clear" w:color="auto" w:fill="FFFFFF"/>
          <w:lang w:val="en-US" w:eastAsia="zh-CN" w:bidi="ar"/>
        </w:rPr>
        <w:t>年尚未安排相关预算。</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hint="eastAsia" w:ascii="楷体" w:hAnsi="楷体" w:eastAsia="楷体"/>
          <w:sz w:val="32"/>
          <w:szCs w:val="32"/>
        </w:rPr>
      </w:pPr>
      <w:r>
        <w:rPr>
          <w:rFonts w:hint="eastAsia" w:ascii="楷体" w:hAnsi="楷体" w:eastAsia="楷体"/>
          <w:sz w:val="32"/>
          <w:szCs w:val="32"/>
        </w:rPr>
        <w:t>（一）政府性基金预算当年规模变化情况</w:t>
      </w:r>
      <w:r>
        <w:rPr>
          <w:rFonts w:hint="eastAsia" w:ascii="楷体" w:hAnsi="楷体" w:eastAsia="楷体"/>
          <w:sz w:val="32"/>
          <w:szCs w:val="32"/>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三亚市天涯区发展和改革委员会部门2022年政府性基金预算当年拨款0万元，与上年预算数持平，主要是部门无政府性基金预算数据.</w:t>
      </w:r>
    </w:p>
    <w:p>
      <w:pPr>
        <w:ind w:firstLine="640"/>
        <w:jc w:val="left"/>
        <w:rPr>
          <w:rFonts w:hint="eastAsia" w:ascii="楷体" w:hAnsi="楷体" w:eastAsia="楷体"/>
          <w:sz w:val="32"/>
          <w:szCs w:val="32"/>
        </w:rPr>
      </w:pPr>
      <w:r>
        <w:rPr>
          <w:rFonts w:hint="eastAsia" w:ascii="楷体" w:hAnsi="楷体" w:eastAsia="楷体" w:cs="楷体"/>
          <w:i w:val="0"/>
          <w:caps w:val="0"/>
          <w:color w:val="222222"/>
          <w:spacing w:val="0"/>
          <w:kern w:val="0"/>
          <w:sz w:val="32"/>
          <w:szCs w:val="32"/>
          <w:lang w:val="en-US" w:eastAsia="zh-CN" w:bidi="ar"/>
        </w:rPr>
        <w:t>（二）政府性基金预算当年拨款结构情况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80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科学技术支出（类）支出0万元，占0%；文化体育与传媒支出（类）支出0万元，占0%；社会保障和就业支出（类）支出0万元，占0%；节能环保（类）支出0万元，占0%。三亚市天涯区发展和改革委员会2022年部门政府性基金无预算安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楷体" w:hAnsi="楷体" w:eastAsia="楷体" w:cs="楷体"/>
          <w:i w:val="0"/>
          <w:caps w:val="0"/>
          <w:color w:val="222222"/>
          <w:spacing w:val="0"/>
          <w:kern w:val="0"/>
          <w:sz w:val="32"/>
          <w:szCs w:val="32"/>
          <w:lang w:val="en-US" w:eastAsia="zh-CN" w:bidi="ar"/>
        </w:rPr>
        <w:t>（三）政府性基金预算当年拨款具体使用情况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1. 科学技术支出（类）核电站乏燃料处理处置基金支出（款）乏燃料运输（项）2022年预算数为0万元，与上年持平。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 科学技术支出（类）核电站乏燃料处理处置基金支出（款）乏燃料离堆贮存（项）2022年预算数为0万元，与上年预算数持平。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800"/>
        <w:jc w:val="left"/>
        <w:rPr>
          <w:rFonts w:ascii="仿宋_GB2312" w:hAnsi="黑体" w:eastAsia="仿宋_GB2312"/>
          <w:sz w:val="32"/>
          <w:szCs w:val="32"/>
        </w:rPr>
      </w:pP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三亚市天涯区发展和改革委员会2022年部门政府性基金无预算安排。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w:t>
      </w:r>
      <w:r>
        <w:rPr>
          <w:rFonts w:hint="eastAsia" w:ascii="黑体" w:hAnsi="黑体" w:eastAsia="黑体" w:cs="黑体"/>
          <w:sz w:val="32"/>
          <w:shd w:val="clear" w:color="auto" w:fill="FFFFFF"/>
        </w:rPr>
        <w:t>关于</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三亚市天涯区发展和改革委员会部门</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lang w:eastAsia="zh-CN"/>
        </w:rPr>
        <w:t>、上年结转</w:t>
      </w:r>
      <w:r>
        <w:rPr>
          <w:rFonts w:hint="eastAsia" w:ascii="仿宋_GB2312" w:hAnsi="黑体" w:eastAsia="仿宋_GB2312"/>
          <w:sz w:val="32"/>
          <w:szCs w:val="32"/>
        </w:rPr>
        <w:t>；支出包括：一般公共服务支出、</w:t>
      </w:r>
      <w:r>
        <w:rPr>
          <w:rFonts w:hint="eastAsia" w:ascii="仿宋_GB2312" w:hAnsi="宋体" w:eastAsia="仿宋_GB2312" w:cs="仿宋_GB2312"/>
          <w:i w:val="0"/>
          <w:caps w:val="0"/>
          <w:color w:val="222222"/>
          <w:spacing w:val="0"/>
          <w:kern w:val="0"/>
          <w:sz w:val="32"/>
          <w:szCs w:val="32"/>
          <w:lang w:val="en-US" w:eastAsia="zh-CN" w:bidi="ar"/>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农林水支出、住房保障支出</w:t>
      </w:r>
      <w:r>
        <w:rPr>
          <w:rFonts w:hint="eastAsia" w:ascii="仿宋_GB2312" w:hAnsi="黑体" w:eastAsia="仿宋_GB2312"/>
          <w:sz w:val="32"/>
          <w:szCs w:val="32"/>
        </w:rPr>
        <w:t>。</w:t>
      </w:r>
      <w:r>
        <w:rPr>
          <w:rFonts w:hint="eastAsia" w:ascii="仿宋_GB2312" w:hAnsi="宋体" w:eastAsia="仿宋_GB2312" w:cs="仿宋_GB2312"/>
          <w:i w:val="0"/>
          <w:caps w:val="0"/>
          <w:color w:val="222222"/>
          <w:spacing w:val="0"/>
          <w:kern w:val="0"/>
          <w:sz w:val="32"/>
          <w:szCs w:val="32"/>
          <w:lang w:val="en-US" w:eastAsia="zh-CN" w:bidi="ar"/>
        </w:rPr>
        <w:t>三亚市天涯区发展和改革委员会</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部门</w:t>
      </w:r>
      <w:r>
        <w:rPr>
          <w:rFonts w:hint="eastAsia" w:ascii="仿宋_GB2312" w:hAnsi="黑体" w:eastAsia="仿宋_GB2312"/>
          <w:sz w:val="32"/>
          <w:szCs w:val="32"/>
        </w:rPr>
        <w:t>收支总预算</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宋体" w:eastAsia="黑体" w:cs="黑体"/>
          <w:i w:val="0"/>
          <w:caps w:val="0"/>
          <w:color w:val="222222"/>
          <w:spacing w:val="0"/>
          <w:kern w:val="0"/>
          <w:sz w:val="32"/>
          <w:szCs w:val="32"/>
          <w:shd w:val="clear" w:color="auto" w:fill="FFFFFF"/>
          <w:lang w:val="en-US" w:eastAsia="zh-CN" w:bidi="ar"/>
        </w:rPr>
        <w:t>三亚市天涯区发展和改革委员会部门</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hint="eastAsia" w:ascii="黑体" w:hAnsi="黑体" w:eastAsia="黑体" w:cs="Times New Roman"/>
          <w:sz w:val="32"/>
          <w:shd w:val="clear" w:color="auto" w:fill="FFFFFF"/>
        </w:rPr>
      </w:pPr>
      <w:r>
        <w:rPr>
          <w:rFonts w:hint="eastAsia" w:ascii="仿宋_GB2312" w:hAnsi="黑体" w:eastAsia="仿宋_GB2312" w:cs="仿宋_GB2312"/>
          <w:sz w:val="32"/>
          <w:szCs w:val="32"/>
          <w:lang w:eastAsia="zh-CN"/>
        </w:rPr>
        <w:t>三亚市天涯区发展和改革委员会部门</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64.76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6.24</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973.28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93.76</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万元；专项收入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390.47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预算增加规划编制与课题研究、社会信用体系建设、项目投资评审、电力运行及营商环境等工作经费。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黑体"/>
          <w:sz w:val="32"/>
          <w:szCs w:val="32"/>
          <w:lang w:eastAsia="zh-CN"/>
        </w:rPr>
        <w:t>三亚市天涯区发展和改革委员会部门</w:t>
      </w:r>
      <w:r>
        <w:rPr>
          <w:rFonts w:hint="eastAsia" w:ascii="黑体" w:hAnsi="黑体" w:eastAsia="黑体" w:cs="黑体"/>
          <w:sz w:val="32"/>
          <w:szCs w:val="32"/>
          <w:lang w:val="en-US" w:eastAsia="zh-CN"/>
        </w:rPr>
        <w:t>2022</w:t>
      </w:r>
      <w:r>
        <w:rPr>
          <w:rFonts w:hint="eastAsia" w:ascii="黑体" w:hAnsi="黑体" w:eastAsia="黑体" w:cs="黑体"/>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黑体" w:hAnsi="黑体" w:eastAsia="黑体" w:cs="Times New Roman"/>
          <w:sz w:val="32"/>
          <w:shd w:val="clear" w:color="auto" w:fill="FFFFFF"/>
        </w:rPr>
      </w:pPr>
      <w:r>
        <w:rPr>
          <w:rFonts w:hint="eastAsia" w:ascii="仿宋_GB2312" w:hAnsi="黑体" w:eastAsia="仿宋_GB2312" w:cs="仿宋_GB2312"/>
          <w:sz w:val="32"/>
          <w:szCs w:val="32"/>
          <w:lang w:eastAsia="zh-CN"/>
        </w:rPr>
        <w:t>三亚市天涯区发展和改革委员会部门</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1038.04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252.42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24.32</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785.62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75.68</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390.47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预算增加规划编制与课题研究、社会信用体系建设、项目投资评审、电力运行及营商环境等工作经费。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仿宋_GB2312" w:hAnsi="黑体" w:eastAsia="仿宋_GB2312" w:cs="仿宋_GB2312"/>
          <w:sz w:val="32"/>
          <w:szCs w:val="32"/>
        </w:rPr>
      </w:pPr>
      <w:r>
        <w:rPr>
          <w:rFonts w:hint="eastAsia" w:ascii="楷体" w:hAnsi="楷体" w:eastAsia="楷体"/>
          <w:sz w:val="32"/>
          <w:szCs w:val="32"/>
        </w:rPr>
        <w:t>（一）机关运行经费</w:t>
      </w:r>
      <w:r>
        <w:rPr>
          <w:rFonts w:hint="eastAsia" w:ascii="楷体" w:hAnsi="楷体" w:eastAsia="楷体"/>
          <w:sz w:val="32"/>
          <w:szCs w:val="32"/>
          <w:lang w:val="en-US" w:eastAsia="zh-CN"/>
        </w:rPr>
        <w:t xml:space="preserve">   </w:t>
      </w:r>
    </w:p>
    <w:p>
      <w:pPr>
        <w:ind w:firstLine="640" w:firstLineChars="200"/>
        <w:rPr>
          <w:rFonts w:hint="eastAsia" w:ascii="楷体" w:hAnsi="楷体" w:eastAsia="楷体"/>
          <w:sz w:val="32"/>
          <w:szCs w:val="32"/>
        </w:rPr>
      </w:pPr>
      <w:r>
        <w:rPr>
          <w:rFonts w:hint="eastAsia" w:ascii="仿宋_GB2312" w:hAnsi="宋体" w:eastAsia="仿宋_GB2312" w:cs="仿宋_GB2312"/>
          <w:i w:val="0"/>
          <w:caps w:val="0"/>
          <w:color w:val="222222"/>
          <w:spacing w:val="0"/>
          <w:kern w:val="0"/>
          <w:sz w:val="32"/>
          <w:szCs w:val="32"/>
          <w:lang w:val="en-US" w:eastAsia="zh-CN" w:bidi="ar"/>
        </w:rPr>
        <w:t>2022年三亚市天涯区发展和改革委员会本级、三亚市天涯区投资服务和统计信息中心等的机关运行经费预算328.81万元。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80"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2022年三亚市天涯区发展和改革委员会本级及下属各预算单位政府采购预算总额1.5万元，其中：政府采购货物预算1.5万元，政府采购工程预算0元，政府采购服务预算0元。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hint="eastAsia" w:ascii="楷体" w:hAnsi="楷体" w:eastAsia="楷体"/>
          <w:sz w:val="32"/>
          <w:szCs w:val="32"/>
        </w:rPr>
      </w:pPr>
      <w:r>
        <w:rPr>
          <w:rFonts w:hint="eastAsia" w:ascii="仿宋_GB2312" w:hAnsi="宋体" w:eastAsia="仿宋_GB2312" w:cs="仿宋_GB2312"/>
          <w:i w:val="0"/>
          <w:caps w:val="0"/>
          <w:color w:val="222222"/>
          <w:spacing w:val="0"/>
          <w:kern w:val="0"/>
          <w:sz w:val="32"/>
          <w:szCs w:val="32"/>
          <w:lang w:val="en-US" w:eastAsia="zh-CN" w:bidi="ar"/>
        </w:rPr>
        <w:t>截至2022年12月31日，三亚市天涯区发展和改革委员会本级及下属各预算单位共有车辆1辆，其中，领导干部用车0辆，机要通信应急用车0辆、一般执法执勤用车0辆、特种专业技术用车0辆、其他用车1辆。单位价值100万元以上设备0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hint="eastAsia" w:ascii="仿宋_GB2312" w:hAnsi="黑体" w:eastAsia="仿宋_GB2312"/>
          <w:sz w:val="32"/>
          <w:szCs w:val="32"/>
          <w:lang w:eastAsia="zh-CN"/>
        </w:rPr>
      </w:pPr>
      <w:r>
        <w:rPr>
          <w:rFonts w:hint="eastAsia" w:ascii="仿宋_GB2312" w:hAnsi="宋体" w:eastAsia="仿宋_GB2312" w:cs="仿宋_GB2312"/>
          <w:i w:val="0"/>
          <w:caps w:val="0"/>
          <w:color w:val="222222"/>
          <w:spacing w:val="0"/>
          <w:kern w:val="0"/>
          <w:sz w:val="32"/>
          <w:szCs w:val="32"/>
          <w:lang w:val="en-US" w:eastAsia="zh-CN" w:bidi="ar"/>
        </w:rPr>
        <w:t>2022年三亚市天涯区发展和改革委员会部门22个项目实行绩效目标管理</w:t>
      </w:r>
      <w:r>
        <w:rPr>
          <w:rFonts w:hint="eastAsia" w:ascii="仿宋_GB2312" w:hAnsi="黑体" w:eastAsia="仿宋_GB2312" w:cs="仿宋_GB2312"/>
          <w:sz w:val="32"/>
          <w:szCs w:val="32"/>
        </w:rPr>
        <w:t>，涉及一般公共预算</w:t>
      </w:r>
      <w:r>
        <w:rPr>
          <w:rFonts w:hint="eastAsia" w:ascii="仿宋_GB2312" w:hAnsi="黑体" w:eastAsia="仿宋_GB2312" w:cs="仿宋_GB2312"/>
          <w:sz w:val="32"/>
          <w:szCs w:val="32"/>
          <w:lang w:val="en-US" w:eastAsia="zh-CN"/>
        </w:rPr>
        <w:t>973.28</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FD0562"/>
    <w:rsid w:val="022253B2"/>
    <w:rsid w:val="03F76CAD"/>
    <w:rsid w:val="042777C2"/>
    <w:rsid w:val="05A9233B"/>
    <w:rsid w:val="06557C80"/>
    <w:rsid w:val="0753277A"/>
    <w:rsid w:val="07D34F5A"/>
    <w:rsid w:val="082362DA"/>
    <w:rsid w:val="09815643"/>
    <w:rsid w:val="09992EB1"/>
    <w:rsid w:val="0AA44C81"/>
    <w:rsid w:val="0B2842AB"/>
    <w:rsid w:val="0B307DD8"/>
    <w:rsid w:val="0D036FEA"/>
    <w:rsid w:val="0D6A670E"/>
    <w:rsid w:val="0E69082F"/>
    <w:rsid w:val="0F1F0D6F"/>
    <w:rsid w:val="110423D4"/>
    <w:rsid w:val="111F127F"/>
    <w:rsid w:val="129C71BE"/>
    <w:rsid w:val="141F1050"/>
    <w:rsid w:val="14AE3878"/>
    <w:rsid w:val="15353FAB"/>
    <w:rsid w:val="155E5A7F"/>
    <w:rsid w:val="16601C4B"/>
    <w:rsid w:val="16D6153A"/>
    <w:rsid w:val="175E1E72"/>
    <w:rsid w:val="17995920"/>
    <w:rsid w:val="195D11BE"/>
    <w:rsid w:val="1BD3183B"/>
    <w:rsid w:val="1D0D0961"/>
    <w:rsid w:val="1EB60B09"/>
    <w:rsid w:val="1F354608"/>
    <w:rsid w:val="1F3B62F0"/>
    <w:rsid w:val="1F571999"/>
    <w:rsid w:val="1FAF3BDD"/>
    <w:rsid w:val="20085321"/>
    <w:rsid w:val="21107864"/>
    <w:rsid w:val="21175176"/>
    <w:rsid w:val="213B1C10"/>
    <w:rsid w:val="219675C0"/>
    <w:rsid w:val="21B619D4"/>
    <w:rsid w:val="221F2A34"/>
    <w:rsid w:val="227E7531"/>
    <w:rsid w:val="23CB3414"/>
    <w:rsid w:val="25AD108C"/>
    <w:rsid w:val="2631430E"/>
    <w:rsid w:val="2633725A"/>
    <w:rsid w:val="267B502D"/>
    <w:rsid w:val="26BD1835"/>
    <w:rsid w:val="2713082F"/>
    <w:rsid w:val="27BD0624"/>
    <w:rsid w:val="280E7B88"/>
    <w:rsid w:val="28B12026"/>
    <w:rsid w:val="29075B9D"/>
    <w:rsid w:val="297A6BE8"/>
    <w:rsid w:val="29B12DDD"/>
    <w:rsid w:val="29BE2DDF"/>
    <w:rsid w:val="2B650D90"/>
    <w:rsid w:val="2B8F36FF"/>
    <w:rsid w:val="2B930BAD"/>
    <w:rsid w:val="2BC7185D"/>
    <w:rsid w:val="2C367D50"/>
    <w:rsid w:val="2D150E9B"/>
    <w:rsid w:val="2EAE775B"/>
    <w:rsid w:val="2F7B16C7"/>
    <w:rsid w:val="2F857647"/>
    <w:rsid w:val="30FE44C8"/>
    <w:rsid w:val="31082827"/>
    <w:rsid w:val="327F5A47"/>
    <w:rsid w:val="32B360CF"/>
    <w:rsid w:val="33586810"/>
    <w:rsid w:val="33880BFE"/>
    <w:rsid w:val="34526C41"/>
    <w:rsid w:val="346E7B5D"/>
    <w:rsid w:val="351C6766"/>
    <w:rsid w:val="354153C4"/>
    <w:rsid w:val="357C6EB6"/>
    <w:rsid w:val="35823E60"/>
    <w:rsid w:val="35D358BB"/>
    <w:rsid w:val="37274C26"/>
    <w:rsid w:val="37E16006"/>
    <w:rsid w:val="38026A3B"/>
    <w:rsid w:val="387A2FF3"/>
    <w:rsid w:val="38E06C83"/>
    <w:rsid w:val="390B4A5C"/>
    <w:rsid w:val="39FF7304"/>
    <w:rsid w:val="3A1F4D35"/>
    <w:rsid w:val="3A7A45D4"/>
    <w:rsid w:val="3B871D0C"/>
    <w:rsid w:val="3DEA375B"/>
    <w:rsid w:val="3EB845A0"/>
    <w:rsid w:val="3FB41FE9"/>
    <w:rsid w:val="40F64536"/>
    <w:rsid w:val="41A20EAF"/>
    <w:rsid w:val="42AE3C94"/>
    <w:rsid w:val="42B84DDB"/>
    <w:rsid w:val="42BA629A"/>
    <w:rsid w:val="45B64043"/>
    <w:rsid w:val="4633282E"/>
    <w:rsid w:val="47356B60"/>
    <w:rsid w:val="473B711E"/>
    <w:rsid w:val="47BD0CB8"/>
    <w:rsid w:val="48FF7090"/>
    <w:rsid w:val="49E7363E"/>
    <w:rsid w:val="4A2B4C69"/>
    <w:rsid w:val="4A530A77"/>
    <w:rsid w:val="4A8F3428"/>
    <w:rsid w:val="4AF2091C"/>
    <w:rsid w:val="4B8C7662"/>
    <w:rsid w:val="4C1D3DB8"/>
    <w:rsid w:val="4CBE45DE"/>
    <w:rsid w:val="4CFA0162"/>
    <w:rsid w:val="4EFA29E8"/>
    <w:rsid w:val="4F2A0943"/>
    <w:rsid w:val="4F7F1C7E"/>
    <w:rsid w:val="4F8061EB"/>
    <w:rsid w:val="512078A1"/>
    <w:rsid w:val="51447C78"/>
    <w:rsid w:val="517974BE"/>
    <w:rsid w:val="521739E9"/>
    <w:rsid w:val="522A67B8"/>
    <w:rsid w:val="53B937F1"/>
    <w:rsid w:val="54725158"/>
    <w:rsid w:val="54986453"/>
    <w:rsid w:val="55F60816"/>
    <w:rsid w:val="57E56B16"/>
    <w:rsid w:val="58110D4D"/>
    <w:rsid w:val="58462135"/>
    <w:rsid w:val="5A024483"/>
    <w:rsid w:val="5B225C34"/>
    <w:rsid w:val="5B2E6ADE"/>
    <w:rsid w:val="5B853496"/>
    <w:rsid w:val="5C9B6742"/>
    <w:rsid w:val="609C73CB"/>
    <w:rsid w:val="60DF7491"/>
    <w:rsid w:val="61F31C7B"/>
    <w:rsid w:val="6439341C"/>
    <w:rsid w:val="646D7082"/>
    <w:rsid w:val="64BC18B6"/>
    <w:rsid w:val="684B1226"/>
    <w:rsid w:val="691841A4"/>
    <w:rsid w:val="698B2B32"/>
    <w:rsid w:val="6A6A1C58"/>
    <w:rsid w:val="6A8C6A0D"/>
    <w:rsid w:val="6B856B03"/>
    <w:rsid w:val="6CCD7418"/>
    <w:rsid w:val="6E3949F9"/>
    <w:rsid w:val="6F23777B"/>
    <w:rsid w:val="70BE77DE"/>
    <w:rsid w:val="70CE020C"/>
    <w:rsid w:val="712E0AC7"/>
    <w:rsid w:val="72A07E83"/>
    <w:rsid w:val="7333790C"/>
    <w:rsid w:val="758175CB"/>
    <w:rsid w:val="764D288F"/>
    <w:rsid w:val="79231833"/>
    <w:rsid w:val="7A055629"/>
    <w:rsid w:val="7BCF066D"/>
    <w:rsid w:val="7D31675E"/>
    <w:rsid w:val="7D8C12C5"/>
    <w:rsid w:val="7DAF1261"/>
    <w:rsid w:val="7E4631C4"/>
    <w:rsid w:val="7EC83188"/>
    <w:rsid w:val="7FB042E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rPr>
      <w:sz w:val="24"/>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6"/>
    <w:link w:val="3"/>
    <w:semiHidden/>
    <w:qFormat/>
    <w:uiPriority w:val="99"/>
    <w:rPr>
      <w:sz w:val="18"/>
      <w:szCs w:val="18"/>
    </w:rPr>
  </w:style>
  <w:style w:type="character" w:customStyle="1" w:styleId="10">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2022-02-16T09:19:31Z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