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single"/>
        </w:rPr>
      </w:pPr>
    </w:p>
    <w:p>
      <w:pPr>
        <w:rPr>
          <w:color w:val="000000" w:themeColor="text1"/>
          <w:sz w:val="84"/>
          <w:szCs w:val="84"/>
          <w:u w:val="single"/>
        </w:rPr>
      </w:pPr>
    </w:p>
    <w:p>
      <w:pPr>
        <w:rPr>
          <w:color w:val="000000" w:themeColor="text1"/>
          <w:sz w:val="84"/>
          <w:szCs w:val="84"/>
          <w:u w:val="single"/>
        </w:rPr>
      </w:pPr>
    </w:p>
    <w:p>
      <w:pPr>
        <w:rPr>
          <w:color w:val="000000" w:themeColor="text1"/>
          <w:sz w:val="84"/>
          <w:szCs w:val="84"/>
          <w:u w:val="single"/>
        </w:rPr>
      </w:pPr>
    </w:p>
    <w:p>
      <w:pPr>
        <w:jc w:val="center"/>
        <w:rPr>
          <w:rFonts w:asciiTheme="minorEastAsia" w:hAnsiTheme="minorEastAsia" w:eastAsiaTheme="minorEastAsia"/>
          <w:color w:val="000000" w:themeColor="text1"/>
          <w:sz w:val="52"/>
          <w:szCs w:val="52"/>
        </w:rPr>
      </w:pPr>
      <w:r>
        <w:rPr>
          <w:rFonts w:hint="eastAsia" w:asciiTheme="majorEastAsia" w:hAnsiTheme="majorEastAsia" w:eastAsiaTheme="majorEastAsia" w:cstheme="majorEastAsia"/>
          <w:color w:val="000000" w:themeColor="text1"/>
          <w:sz w:val="52"/>
          <w:szCs w:val="52"/>
        </w:rPr>
        <w:t>2022年三亚市育才青法小学单位预算</w:t>
      </w: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rPr>
          <w:color w:val="000000" w:themeColor="text1"/>
          <w:sz w:val="84"/>
          <w:szCs w:val="84"/>
        </w:rPr>
      </w:pPr>
    </w:p>
    <w:p>
      <w:pPr>
        <w:jc w:val="center"/>
        <w:rPr>
          <w:rFonts w:ascii="黑体" w:hAnsi="黑体" w:eastAsia="黑体"/>
          <w:color w:val="000000" w:themeColor="text1"/>
          <w:sz w:val="52"/>
          <w:szCs w:val="52"/>
        </w:rPr>
      </w:pPr>
      <w:r>
        <w:rPr>
          <w:rFonts w:hint="eastAsia" w:ascii="黑体" w:hAnsi="黑体" w:eastAsia="黑体"/>
          <w:color w:val="000000" w:themeColor="text1"/>
          <w:sz w:val="52"/>
          <w:szCs w:val="52"/>
        </w:rPr>
        <w:t>目录</w:t>
      </w:r>
    </w:p>
    <w:p>
      <w:pPr>
        <w:pStyle w:val="10"/>
        <w:numPr>
          <w:ilvl w:val="0"/>
          <w:numId w:val="1"/>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三亚市育才青法小学概况</w:t>
      </w:r>
    </w:p>
    <w:p>
      <w:pPr>
        <w:pStyle w:val="10"/>
        <w:numPr>
          <w:ilvl w:val="0"/>
          <w:numId w:val="2"/>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主要职能</w:t>
      </w:r>
    </w:p>
    <w:p>
      <w:pPr>
        <w:pStyle w:val="10"/>
        <w:numPr>
          <w:ilvl w:val="0"/>
          <w:numId w:val="2"/>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机构设置情况</w:t>
      </w:r>
    </w:p>
    <w:p>
      <w:pPr>
        <w:pStyle w:val="10"/>
        <w:numPr>
          <w:ilvl w:val="0"/>
          <w:numId w:val="1"/>
        </w:numPr>
        <w:ind w:firstLineChars="0"/>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三亚市育才青法小学2022年单位预算表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财政拨款收支总表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一般公共预算支出表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一般公共预算基本支出表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一般公共预算“三公”经费支出表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政府性基金预算支出表。</w:t>
      </w:r>
    </w:p>
    <w:p>
      <w:pPr>
        <w:pStyle w:val="10"/>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政府性基金预算“三公”经费支出表</w:t>
      </w:r>
    </w:p>
    <w:p>
      <w:pPr>
        <w:pStyle w:val="10"/>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单位收支总表</w:t>
      </w:r>
    </w:p>
    <w:p>
      <w:pPr>
        <w:pStyle w:val="10"/>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单位收入总表</w:t>
      </w:r>
    </w:p>
    <w:p>
      <w:pPr>
        <w:pStyle w:val="10"/>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单位支出总表</w:t>
      </w:r>
    </w:p>
    <w:p>
      <w:pPr>
        <w:pStyle w:val="10"/>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项目支出绩效信息表</w:t>
      </w:r>
    </w:p>
    <w:p>
      <w:pPr>
        <w:pStyle w:val="10"/>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三亚市育才青法小学2022年单位预算情况说明</w:t>
      </w:r>
    </w:p>
    <w:p>
      <w:pPr>
        <w:pStyle w:val="10"/>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名词解释</w:t>
      </w:r>
    </w:p>
    <w:p>
      <w:pPr>
        <w:pStyle w:val="10"/>
        <w:ind w:left="1320" w:firstLine="0" w:firstLineChars="0"/>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pStyle w:val="10"/>
        <w:numPr>
          <w:ilvl w:val="0"/>
          <w:numId w:val="4"/>
        </w:numPr>
        <w:ind w:firstLineChars="0"/>
        <w:jc w:val="center"/>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三亚市育才青法小学概况</w:t>
      </w:r>
    </w:p>
    <w:p>
      <w:pPr>
        <w:pStyle w:val="10"/>
        <w:ind w:firstLine="640" w:firstLineChars="0"/>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一、主要职能</w:t>
      </w:r>
    </w:p>
    <w:p>
      <w:pPr>
        <w:pStyle w:val="10"/>
        <w:ind w:firstLine="640" w:firstLineChars="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   实施小学义务教育，促进基础教育发展。</w:t>
      </w:r>
    </w:p>
    <w:p>
      <w:pPr>
        <w:pStyle w:val="12"/>
        <w:ind w:firstLine="0"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二、机构设置情况</w:t>
      </w:r>
    </w:p>
    <w:p>
      <w:pPr>
        <w:pStyle w:val="12"/>
        <w:widowControl/>
        <w:spacing w:line="560" w:lineRule="exact"/>
        <w:ind w:firstLine="640"/>
        <w:jc w:val="left"/>
        <w:rPr>
          <w:rFonts w:ascii="仿宋_GB2312" w:hAnsi="ˎ̥" w:eastAsia="仿宋_GB2312" w:cs="Times New Roman"/>
          <w:color w:val="000000" w:themeColor="text1"/>
          <w:sz w:val="32"/>
          <w:szCs w:val="32"/>
        </w:rPr>
      </w:pPr>
      <w:r>
        <w:rPr>
          <w:rFonts w:hint="eastAsia" w:ascii="仿宋_GB2312" w:hAnsi="ˎ̥" w:eastAsia="仿宋_GB2312" w:cs="Times New Roman"/>
          <w:color w:val="000000" w:themeColor="text1"/>
          <w:sz w:val="32"/>
          <w:szCs w:val="32"/>
        </w:rPr>
        <w:t>三亚市育才青法小学设五个内设机构，单位事业编制8名，设校长1名，副校长0名，部门主任4名。</w:t>
      </w:r>
    </w:p>
    <w:p>
      <w:pPr>
        <w:ind w:firstLine="800" w:firstLineChars="250"/>
        <w:jc w:val="left"/>
        <w:rPr>
          <w:rFonts w:ascii="仿宋_GB2312" w:hAnsi="黑体" w:eastAsia="仿宋_GB2312" w:cs="仿宋_GB2312"/>
          <w:color w:val="000000" w:themeColor="text1"/>
          <w:sz w:val="32"/>
          <w:szCs w:val="32"/>
        </w:rPr>
      </w:pPr>
      <w:r>
        <w:rPr>
          <w:rFonts w:hint="eastAsia" w:ascii="仿宋_GB2312" w:hAnsi="ˎ̥" w:eastAsia="仿宋_GB2312" w:cs="Times New Roman"/>
          <w:color w:val="000000" w:themeColor="text1"/>
          <w:sz w:val="32"/>
          <w:szCs w:val="32"/>
        </w:rPr>
        <w:t>纳入</w:t>
      </w:r>
      <w:r>
        <w:rPr>
          <w:rFonts w:hint="eastAsia" w:ascii="仿宋" w:hAnsi="仿宋" w:eastAsia="仿宋" w:cs="仿宋"/>
          <w:color w:val="000000" w:themeColor="text1"/>
          <w:sz w:val="32"/>
          <w:szCs w:val="32"/>
        </w:rPr>
        <w:t>三亚市教育局部门</w:t>
      </w:r>
      <w:r>
        <w:rPr>
          <w:rFonts w:hint="eastAsia" w:ascii="仿宋_GB2312" w:hAnsi="ˎ̥" w:eastAsia="仿宋_GB2312" w:cs="Times New Roman"/>
          <w:color w:val="000000" w:themeColor="text1"/>
          <w:sz w:val="32"/>
          <w:szCs w:val="32"/>
        </w:rPr>
        <w:t>2022年部门预算编制范围的预算单位为三亚市育才青法小学。</w:t>
      </w:r>
    </w:p>
    <w:p>
      <w:pPr>
        <w:ind w:firstLine="800" w:firstLineChars="250"/>
        <w:jc w:val="left"/>
        <w:rPr>
          <w:rFonts w:ascii="仿宋_GB2312" w:hAnsi="黑体" w:eastAsia="仿宋_GB2312" w:cs="仿宋_GB2312"/>
          <w:color w:val="000000" w:themeColor="text1"/>
          <w:sz w:val="32"/>
          <w:szCs w:val="32"/>
        </w:rPr>
      </w:pPr>
    </w:p>
    <w:p>
      <w:pPr>
        <w:pStyle w:val="10"/>
        <w:ind w:firstLine="640" w:firstLineChars="0"/>
        <w:rPr>
          <w:rFonts w:ascii="仿宋" w:hAnsi="仿宋" w:eastAsia="仿宋" w:cs="仿宋"/>
          <w:color w:val="000000" w:themeColor="text1"/>
          <w:sz w:val="32"/>
          <w:szCs w:val="32"/>
        </w:rPr>
      </w:pP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第二部分   三亚市育才青法小学2022年单位预算表</w:t>
      </w:r>
    </w:p>
    <w:p>
      <w:pPr>
        <w:jc w:val="center"/>
        <w:rPr>
          <w:rFonts w:ascii="黑体" w:hAnsi="黑体" w:eastAsia="黑体"/>
          <w:color w:val="000000" w:themeColor="text1"/>
          <w:sz w:val="32"/>
          <w:szCs w:val="32"/>
        </w:rPr>
      </w:pPr>
      <w:r>
        <w:rPr>
          <w:rFonts w:hint="eastAsia" w:ascii="仿宋" w:hAnsi="仿宋" w:eastAsia="仿宋"/>
          <w:bCs/>
          <w:color w:val="000000" w:themeColor="text1"/>
          <w:sz w:val="32"/>
          <w:szCs w:val="32"/>
        </w:rPr>
        <w:t>此表详见附件1</w:t>
      </w:r>
    </w:p>
    <w:p>
      <w:pPr>
        <w:ind w:firstLine="480" w:firstLineChars="150"/>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第三部分    三亚市育才青法小学2022年单位预算情况说明</w:t>
      </w:r>
    </w:p>
    <w:p>
      <w:pPr>
        <w:jc w:val="center"/>
        <w:rPr>
          <w:rFonts w:ascii="黑体" w:hAnsi="黑体" w:eastAsia="黑体"/>
          <w:color w:val="000000" w:themeColor="text1"/>
          <w:sz w:val="32"/>
          <w:szCs w:val="32"/>
        </w:rPr>
      </w:pPr>
    </w:p>
    <w:p>
      <w:pPr>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一、关于 三亚市育才青法小学2022年财政拨款收支预算情况的总体说明</w:t>
      </w:r>
    </w:p>
    <w:p>
      <w:pPr>
        <w:ind w:firstLine="640"/>
        <w:jc w:val="left"/>
        <w:rPr>
          <w:rFonts w:hint="eastAsia" w:ascii="仿宋_GB2312" w:hAnsi="黑体" w:eastAsia="仿宋_GB2312"/>
          <w:sz w:val="32"/>
          <w:szCs w:val="32"/>
        </w:rPr>
      </w:pPr>
      <w:r>
        <w:rPr>
          <w:rFonts w:hint="eastAsia" w:ascii="仿宋_GB2312" w:hAnsi="黑体" w:eastAsia="仿宋_GB2312"/>
          <w:sz w:val="32"/>
          <w:szCs w:val="32"/>
          <w:lang w:val="en-US" w:eastAsia="zh-CN"/>
        </w:rPr>
        <w:t>三亚市育才青法小学2022</w:t>
      </w:r>
      <w:r>
        <w:rPr>
          <w:rFonts w:hint="eastAsia" w:ascii="仿宋_GB2312" w:hAnsi="黑体" w:eastAsia="仿宋_GB2312"/>
          <w:sz w:val="32"/>
          <w:szCs w:val="32"/>
        </w:rPr>
        <w:t>年财政拨款收支总预</w:t>
      </w:r>
      <w:r>
        <w:rPr>
          <w:rFonts w:hint="eastAsia" w:ascii="仿宋_GB2312" w:hAnsi="黑体" w:eastAsia="仿宋_GB2312"/>
          <w:sz w:val="32"/>
          <w:szCs w:val="32"/>
          <w:lang w:val="en-US" w:eastAsia="zh-CN"/>
        </w:rPr>
        <w:t>203.37</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203.37</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203.37</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203.37</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203.37</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二、关于三亚市育才青法小学2022年一般公共预算当年拨款情况说明</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（一）一般公共预算当年规模变化情况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三亚市育才青法小学2022</w:t>
      </w:r>
      <w:r>
        <w:rPr>
          <w:rFonts w:hint="eastAsia" w:ascii="仿宋_GB2312" w:hAnsi="黑体" w:eastAsia="仿宋_GB2312"/>
          <w:color w:val="000000" w:themeColor="text1"/>
          <w:sz w:val="32"/>
          <w:szCs w:val="32"/>
        </w:rPr>
        <w:t>年一般公共预算当年拨款</w:t>
      </w:r>
      <w:r>
        <w:rPr>
          <w:rFonts w:hint="eastAsia" w:ascii="仿宋_GB2312" w:hAnsi="黑体" w:eastAsia="仿宋_GB2312" w:cs="仿宋_GB2312"/>
          <w:color w:val="000000" w:themeColor="text1"/>
          <w:sz w:val="32"/>
          <w:szCs w:val="32"/>
        </w:rPr>
        <w:t>203.37</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增加8.63</w:t>
      </w:r>
      <w:r>
        <w:rPr>
          <w:rFonts w:hint="eastAsia" w:ascii="仿宋_GB2312" w:hAnsi="黑体" w:eastAsia="仿宋_GB2312"/>
          <w:color w:val="000000" w:themeColor="text1"/>
          <w:sz w:val="32"/>
          <w:szCs w:val="32"/>
        </w:rPr>
        <w:t>万元，主要是在人员薪资增长，基本工资、绩效工资及津贴补贴等预算也增加指标。</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（二）一般公共预算当年拨款结构情况</w:t>
      </w:r>
    </w:p>
    <w:p>
      <w:pPr>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 xml:space="preserve">    教育支出支出150.96</w:t>
      </w:r>
      <w:r>
        <w:rPr>
          <w:rFonts w:hint="eastAsia" w:ascii="仿宋_GB2312" w:hAnsi="黑体" w:eastAsia="仿宋_GB2312"/>
          <w:color w:val="000000" w:themeColor="text1"/>
          <w:sz w:val="32"/>
          <w:szCs w:val="32"/>
        </w:rPr>
        <w:t>万元，占74.23%；社会保障和就业</w:t>
      </w:r>
      <w:r>
        <w:rPr>
          <w:rFonts w:hint="eastAsia" w:ascii="仿宋_GB2312" w:hAnsi="黑体" w:eastAsia="仿宋_GB2312" w:cs="仿宋_GB2312"/>
          <w:color w:val="000000" w:themeColor="text1"/>
          <w:sz w:val="32"/>
          <w:szCs w:val="32"/>
        </w:rPr>
        <w:t>支出14.43</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7.10</w:t>
      </w:r>
      <w:r>
        <w:rPr>
          <w:rFonts w:hint="eastAsia" w:ascii="仿宋_GB2312" w:hAnsi="黑体" w:eastAsia="仿宋_GB2312"/>
          <w:color w:val="000000" w:themeColor="text1"/>
          <w:sz w:val="32"/>
          <w:szCs w:val="32"/>
        </w:rPr>
        <w:t>%；卫生健康</w:t>
      </w:r>
      <w:r>
        <w:rPr>
          <w:rFonts w:hint="eastAsia" w:ascii="仿宋_GB2312" w:hAnsi="黑体" w:eastAsia="仿宋_GB2312" w:cs="仿宋_GB2312"/>
          <w:color w:val="000000" w:themeColor="text1"/>
          <w:sz w:val="32"/>
          <w:szCs w:val="32"/>
        </w:rPr>
        <w:t>支出26.79</w:t>
      </w:r>
      <w:r>
        <w:rPr>
          <w:rFonts w:hint="eastAsia" w:ascii="仿宋_GB2312" w:hAnsi="黑体" w:eastAsia="仿宋_GB2312"/>
          <w:color w:val="000000" w:themeColor="text1"/>
          <w:sz w:val="32"/>
          <w:szCs w:val="32"/>
        </w:rPr>
        <w:t>万元，占13.17%；住房保障支出11.19万元，占5.50%。</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1.教育（类）普通教育（款）小学教育（项）2022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150.96</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增加2.15</w:t>
      </w:r>
      <w:r>
        <w:rPr>
          <w:rFonts w:hint="eastAsia" w:ascii="仿宋_GB2312" w:hAnsi="黑体" w:eastAsia="仿宋_GB2312"/>
          <w:color w:val="000000" w:themeColor="text1"/>
          <w:sz w:val="32"/>
          <w:szCs w:val="32"/>
        </w:rPr>
        <w:t>万元，主要是工资福利支出增加了预算。</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2.社会保障和就业</w:t>
      </w:r>
      <w:r>
        <w:rPr>
          <w:rFonts w:hint="eastAsia" w:ascii="仿宋_GB2312" w:hAnsi="黑体" w:eastAsia="仿宋_GB2312" w:cs="仿宋_GB2312"/>
          <w:color w:val="000000" w:themeColor="text1"/>
          <w:sz w:val="32"/>
          <w:szCs w:val="32"/>
        </w:rPr>
        <w:t>（类）行政事业单位养老（款）机关事业单位基本养老保险缴费（项）2022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14.43</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增加1.25</w:t>
      </w:r>
      <w:r>
        <w:rPr>
          <w:rFonts w:hint="eastAsia" w:ascii="仿宋_GB2312" w:hAnsi="黑体" w:eastAsia="仿宋_GB2312"/>
          <w:color w:val="000000" w:themeColor="text1"/>
          <w:sz w:val="32"/>
          <w:szCs w:val="32"/>
        </w:rPr>
        <w:t>万元，主要是养老保险基数逐年增加。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3.卫生健康（类）行政事业单位医疗（款）事业单位医疗（项）2022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7.66</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增加0.66</w:t>
      </w:r>
      <w:r>
        <w:rPr>
          <w:rFonts w:hint="eastAsia" w:ascii="仿宋_GB2312" w:hAnsi="黑体" w:eastAsia="仿宋_GB2312"/>
          <w:color w:val="000000" w:themeColor="text1"/>
          <w:sz w:val="32"/>
          <w:szCs w:val="32"/>
        </w:rPr>
        <w:t>万元，主要是医疗保险基数逐年增加。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4.</w:t>
      </w:r>
      <w:r>
        <w:rPr>
          <w:rFonts w:hint="eastAsia" w:ascii="仿宋_GB2312" w:hAnsi="黑体" w:eastAsia="仿宋_GB2312" w:cs="仿宋_GB2312"/>
          <w:color w:val="000000" w:themeColor="text1"/>
          <w:sz w:val="32"/>
          <w:szCs w:val="32"/>
        </w:rPr>
        <w:t>卫生健康（类）行政事业单位医疗（款）公务员医疗补助（项）2022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19.13</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s="仿宋_GB2312"/>
          <w:color w:val="000000" w:themeColor="text1"/>
          <w:sz w:val="32"/>
          <w:szCs w:val="32"/>
        </w:rPr>
        <w:t>3.61</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增加3.8</w:t>
      </w:r>
      <w:r>
        <w:rPr>
          <w:rFonts w:hint="eastAsia" w:ascii="仿宋_GB2312" w:hAnsi="黑体" w:eastAsia="仿宋_GB2312"/>
          <w:color w:val="000000" w:themeColor="text1"/>
          <w:sz w:val="32"/>
          <w:szCs w:val="32"/>
        </w:rPr>
        <w:t>万元，主要是公补基数逐年增加。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w:t>
      </w:r>
      <w:r>
        <w:rPr>
          <w:rFonts w:hint="eastAsia" w:ascii="仿宋_GB2312" w:hAnsi="黑体" w:eastAsia="仿宋_GB2312" w:cs="仿宋_GB2312"/>
          <w:color w:val="000000" w:themeColor="text1"/>
          <w:sz w:val="32"/>
          <w:szCs w:val="32"/>
        </w:rPr>
        <w:t>住房保障（类）住房改革（款）住房公积金（项）2022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11.19</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0.97</w:t>
      </w:r>
      <w:r>
        <w:rPr>
          <w:rFonts w:hint="eastAsia" w:ascii="仿宋_GB2312" w:hAnsi="黑体" w:eastAsia="仿宋_GB2312"/>
          <w:color w:val="000000" w:themeColor="text1"/>
          <w:sz w:val="32"/>
          <w:szCs w:val="32"/>
        </w:rPr>
        <w:t>万元，主要总薪资提高住房公积金基数也相应提高。</w:t>
      </w:r>
    </w:p>
    <w:p>
      <w:pPr>
        <w:ind w:firstLine="640"/>
        <w:rPr>
          <w:rFonts w:ascii="黑体" w:hAnsi="黑体" w:eastAsia="黑体"/>
          <w:color w:val="000000" w:themeColor="text1"/>
          <w:sz w:val="32"/>
          <w:szCs w:val="32"/>
        </w:rPr>
      </w:pPr>
      <w:r>
        <w:rPr>
          <w:rFonts w:hint="eastAsia" w:ascii="黑体" w:hAnsi="黑体" w:eastAsia="黑体"/>
          <w:color w:val="000000" w:themeColor="text1"/>
          <w:sz w:val="32"/>
          <w:szCs w:val="32"/>
        </w:rPr>
        <w:t>三、关于三亚市育才青法小学2022年一般公共预算基本支出情况说明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三亚市育才青法小学2022年一般公共预算基本支出为</w:t>
      </w:r>
      <w:r>
        <w:rPr>
          <w:rFonts w:hint="eastAsia" w:ascii="仿宋_GB2312" w:hAnsi="黑体" w:eastAsia="仿宋_GB2312" w:cs="仿宋_GB2312"/>
          <w:color w:val="000000" w:themeColor="text1"/>
          <w:sz w:val="32"/>
          <w:szCs w:val="32"/>
        </w:rPr>
        <w:t>190.37</w:t>
      </w:r>
      <w:r>
        <w:rPr>
          <w:rFonts w:hint="eastAsia" w:ascii="仿宋_GB2312" w:hAnsi="黑体" w:eastAsia="仿宋_GB2312"/>
          <w:color w:val="000000" w:themeColor="text1"/>
          <w:sz w:val="32"/>
          <w:szCs w:val="32"/>
        </w:rPr>
        <w:t>万元，其中：</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s="仿宋_GB2312"/>
          <w:color w:val="000000" w:themeColor="text1"/>
          <w:sz w:val="32"/>
          <w:szCs w:val="32"/>
        </w:rPr>
        <w:t>178.85</w:t>
      </w:r>
      <w:r>
        <w:rPr>
          <w:rFonts w:hint="eastAsia" w:ascii="仿宋_GB2312" w:hAnsi="黑体" w:eastAsia="仿宋_GB2312"/>
          <w:color w:val="000000" w:themeColor="text1"/>
          <w:sz w:val="32"/>
          <w:szCs w:val="32"/>
        </w:rPr>
        <w:t>万元，主要包括：基本工资、津贴补贴、奖金、社会保障缴费、住房公积金、邮电费、奖励金;</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公用经费</w:t>
      </w:r>
      <w:r>
        <w:rPr>
          <w:rFonts w:hint="eastAsia" w:ascii="仿宋_GB2312" w:hAnsi="黑体" w:eastAsia="仿宋_GB2312" w:cs="仿宋_GB2312"/>
          <w:color w:val="000000" w:themeColor="text1"/>
          <w:sz w:val="32"/>
          <w:szCs w:val="32"/>
        </w:rPr>
        <w:t>11.52</w:t>
      </w:r>
      <w:r>
        <w:rPr>
          <w:rFonts w:hint="eastAsia" w:ascii="仿宋_GB2312" w:hAnsi="黑体" w:eastAsia="仿宋_GB2312"/>
          <w:color w:val="000000" w:themeColor="text1"/>
          <w:sz w:val="32"/>
          <w:szCs w:val="32"/>
        </w:rPr>
        <w:t>万元，主要包括：办公费、其他社会保障缴费、工会经费、福利费、其他商品和服务支出。</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四、三亚市育才青法小学2022</w:t>
      </w:r>
      <w:r>
        <w:rPr>
          <w:rFonts w:ascii="黑体" w:hAnsi="黑体" w:eastAsia="黑体" w:cs="Times New Roman"/>
          <w:color w:val="000000" w:themeColor="text1"/>
          <w:sz w:val="32"/>
          <w:szCs w:val="32"/>
          <w:shd w:val="clear" w:color="auto" w:fill="FFFFFF"/>
        </w:rPr>
        <w:t>年“三公”经费预算情况</w:t>
      </w:r>
      <w:r>
        <w:rPr>
          <w:rFonts w:hint="eastAsia" w:ascii="黑体" w:hAnsi="黑体" w:eastAsia="黑体" w:cs="Times New Roman"/>
          <w:color w:val="000000" w:themeColor="text1"/>
          <w:sz w:val="32"/>
          <w:szCs w:val="32"/>
          <w:shd w:val="clear" w:color="auto" w:fill="FFFFFF"/>
        </w:rPr>
        <w:t>说明</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（一）三亚市育才青法小学2022年一般公共预算“三公”经费预算数为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万元，与上年预算持平。</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（二）三亚市育才青法小学2022年政府性基金预算“三公”经费预算数为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万，与上年预算持平。</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五、三亚市育才青法小学2022</w:t>
      </w:r>
      <w:r>
        <w:rPr>
          <w:rFonts w:ascii="黑体" w:hAnsi="黑体" w:eastAsia="黑体" w:cs="Times New Roman"/>
          <w:color w:val="000000" w:themeColor="text1"/>
          <w:sz w:val="32"/>
          <w:szCs w:val="32"/>
          <w:shd w:val="clear" w:color="auto" w:fill="FFFFFF"/>
        </w:rPr>
        <w:t>年</w:t>
      </w:r>
      <w:r>
        <w:rPr>
          <w:rFonts w:hint="eastAsia" w:ascii="黑体" w:hAnsi="黑体" w:eastAsia="黑体" w:cs="Times New Roman"/>
          <w:color w:val="000000" w:themeColor="text1"/>
          <w:sz w:val="32"/>
          <w:szCs w:val="32"/>
          <w:shd w:val="clear" w:color="auto" w:fill="FFFFFF"/>
        </w:rPr>
        <w:t>政府性基金预算当年拨款情况说明</w:t>
      </w:r>
    </w:p>
    <w:p>
      <w:pPr>
        <w:ind w:left="638" w:leftChars="304" w:firstLine="0" w:firstLineChars="0"/>
        <w:rPr>
          <w:rFonts w:ascii="仿宋_GB2312" w:hAnsi="黑体" w:eastAsia="仿宋_GB2312"/>
          <w:sz w:val="32"/>
          <w:szCs w:val="32"/>
        </w:rPr>
      </w:pPr>
      <w:r>
        <w:rPr>
          <w:rFonts w:hint="eastAsia" w:ascii="仿宋" w:hAnsi="仿宋" w:eastAsia="仿宋"/>
          <w:color w:val="000000" w:themeColor="text1"/>
          <w:sz w:val="32"/>
          <w:szCs w:val="32"/>
        </w:rPr>
        <w:t>（一）政府性基金预算当年规模变化情况</w:t>
      </w:r>
      <w:r>
        <w:rPr>
          <w:rFonts w:hint="eastAsia" w:ascii="仿宋" w:hAnsi="仿宋" w:eastAsia="仿宋"/>
          <w:color w:val="000000" w:themeColor="text1"/>
          <w:sz w:val="32"/>
          <w:szCs w:val="32"/>
        </w:rPr>
        <w:cr/>
      </w:r>
      <w:r>
        <w:rPr>
          <w:rFonts w:hint="eastAsia" w:ascii="仿宋_GB2312" w:hAnsi="黑体" w:eastAsia="仿宋_GB2312"/>
          <w:sz w:val="32"/>
          <w:szCs w:val="32"/>
          <w:lang w:val="en-US" w:eastAsia="zh-CN"/>
        </w:rPr>
        <w:t>三亚市育才青法小学2022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w:t>
      </w:r>
      <w:r>
        <w:rPr>
          <w:rFonts w:hint="eastAsia" w:ascii="仿宋_GB2312" w:hAnsi="黑体" w:eastAsia="仿宋_GB2312"/>
          <w:sz w:val="32"/>
          <w:szCs w:val="32"/>
        </w:rPr>
        <w:t>是</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本单位是事业公益性单位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不做当年预算</w:t>
      </w:r>
      <w:r>
        <w:rPr>
          <w:rFonts w:hint="eastAsia" w:ascii="仿宋_GB2312" w:hAnsi="黑体" w:eastAsia="仿宋_GB2312"/>
          <w:sz w:val="32"/>
          <w:szCs w:val="32"/>
        </w:rPr>
        <w:t>。</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（二）政府性基金预算当年拨款结构情况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无，与上年预算数持平。</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（三）政府性基金预算当年拨款具体使用情况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无，与上年预算数持平。</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olor w:val="000000" w:themeColor="text1"/>
          <w:sz w:val="32"/>
          <w:shd w:val="clear" w:color="auto" w:fill="FFFFFF"/>
        </w:rPr>
        <w:t>六、关于</w:t>
      </w:r>
      <w:r>
        <w:rPr>
          <w:rFonts w:hint="eastAsia" w:ascii="黑体" w:hAnsi="黑体" w:eastAsia="黑体"/>
          <w:color w:val="000000" w:themeColor="text1"/>
          <w:sz w:val="32"/>
          <w:szCs w:val="32"/>
        </w:rPr>
        <w:t>三亚市育才青法小学2022</w:t>
      </w:r>
      <w:r>
        <w:rPr>
          <w:rFonts w:hint="eastAsia" w:ascii="黑体" w:hAnsi="黑体" w:eastAsia="黑体"/>
          <w:color w:val="000000" w:themeColor="text1"/>
          <w:sz w:val="32"/>
          <w:shd w:val="clear" w:color="auto" w:fill="FFFFFF"/>
        </w:rPr>
        <w:t>年收支预算情况的总体说明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按照综合预算原则，</w:t>
      </w:r>
      <w:r>
        <w:rPr>
          <w:rFonts w:hint="eastAsia" w:ascii="仿宋_GB2312" w:hAnsi="黑体" w:eastAsia="仿宋_GB2312"/>
          <w:color w:val="000000" w:themeColor="text1"/>
          <w:sz w:val="32"/>
          <w:szCs w:val="32"/>
        </w:rPr>
        <w:t>三亚市育才青法小学</w:t>
      </w:r>
      <w:r>
        <w:rPr>
          <w:rFonts w:hint="eastAsia" w:ascii="仿宋_GB2312" w:hAnsi="黑体" w:eastAsia="仿宋_GB2312" w:cs="仿宋_GB2312"/>
          <w:color w:val="000000" w:themeColor="text1"/>
          <w:sz w:val="32"/>
          <w:szCs w:val="32"/>
        </w:rPr>
        <w:t>所有收入和支出均纳入单位预算管理。收入为：一般公共预算收入；</w:t>
      </w:r>
      <w:r>
        <w:rPr>
          <w:rFonts w:hint="eastAsia" w:ascii="仿宋_GB2312" w:hAnsi="黑体" w:eastAsia="仿宋_GB2312"/>
          <w:color w:val="000000" w:themeColor="text1"/>
          <w:sz w:val="32"/>
          <w:szCs w:val="32"/>
        </w:rPr>
        <w:t>支出包括：教育支出、社会保障和就业支出、卫生健康支出、住房保障支出。三亚市育才青法小学2022年收支总预算</w:t>
      </w:r>
      <w:r>
        <w:rPr>
          <w:rFonts w:hint="eastAsia" w:ascii="仿宋_GB2312" w:hAnsi="黑体" w:eastAsia="仿宋_GB2312" w:cs="仿宋_GB2312"/>
          <w:color w:val="000000" w:themeColor="text1"/>
          <w:sz w:val="32"/>
          <w:szCs w:val="32"/>
        </w:rPr>
        <w:t>203.37</w:t>
      </w:r>
      <w:r>
        <w:rPr>
          <w:rFonts w:hint="eastAsia" w:ascii="仿宋_GB2312" w:hAnsi="黑体" w:eastAsia="仿宋_GB2312"/>
          <w:color w:val="000000" w:themeColor="text1"/>
          <w:sz w:val="32"/>
          <w:szCs w:val="32"/>
        </w:rPr>
        <w:t>万元。</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七、关于</w:t>
      </w:r>
      <w:r>
        <w:rPr>
          <w:rFonts w:hint="eastAsia" w:ascii="黑体" w:hAnsi="黑体" w:eastAsia="黑体"/>
          <w:color w:val="000000" w:themeColor="text1"/>
          <w:sz w:val="32"/>
          <w:szCs w:val="32"/>
        </w:rPr>
        <w:t>三亚市育才青法小学2022</w:t>
      </w:r>
      <w:r>
        <w:rPr>
          <w:rFonts w:hint="eastAsia" w:ascii="黑体" w:hAnsi="黑体" w:eastAsia="黑体"/>
          <w:color w:val="000000" w:themeColor="text1"/>
          <w:sz w:val="32"/>
          <w:shd w:val="clear" w:color="auto" w:fill="FFFFFF"/>
        </w:rPr>
        <w:t>年收入预算情况说明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三亚市育才青法小学2022年收入预算</w:t>
      </w:r>
      <w:r>
        <w:rPr>
          <w:rFonts w:hint="eastAsia" w:ascii="仿宋_GB2312" w:hAnsi="黑体" w:eastAsia="仿宋_GB2312" w:cs="仿宋_GB2312"/>
          <w:color w:val="000000" w:themeColor="text1"/>
          <w:sz w:val="32"/>
          <w:szCs w:val="32"/>
        </w:rPr>
        <w:t>203.37</w:t>
      </w:r>
      <w:r>
        <w:rPr>
          <w:rFonts w:hint="eastAsia" w:ascii="仿宋_GB2312" w:hAnsi="黑体" w:eastAsia="仿宋_GB2312"/>
          <w:color w:val="000000" w:themeColor="text1"/>
          <w:sz w:val="32"/>
          <w:szCs w:val="32"/>
        </w:rPr>
        <w:t>万元，经费拨款收入</w:t>
      </w:r>
      <w:r>
        <w:rPr>
          <w:rFonts w:hint="eastAsia" w:ascii="仿宋_GB2312" w:hAnsi="黑体" w:eastAsia="仿宋_GB2312" w:cs="仿宋_GB2312"/>
          <w:color w:val="000000" w:themeColor="text1"/>
          <w:sz w:val="32"/>
          <w:szCs w:val="32"/>
        </w:rPr>
        <w:t>203.37</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100</w:t>
      </w:r>
      <w:r>
        <w:rPr>
          <w:rFonts w:hint="eastAsia" w:ascii="仿宋_GB2312" w:hAnsi="黑体" w:eastAsia="仿宋_GB2312"/>
          <w:color w:val="000000" w:themeColor="text1"/>
          <w:sz w:val="32"/>
          <w:szCs w:val="32"/>
        </w:rPr>
        <w:t>% 。比上年预算数</w:t>
      </w:r>
      <w:r>
        <w:rPr>
          <w:rFonts w:hint="eastAsia" w:ascii="仿宋_GB2312" w:hAnsi="黑体" w:eastAsia="仿宋_GB2312" w:cs="仿宋_GB2312"/>
          <w:color w:val="000000" w:themeColor="text1"/>
          <w:sz w:val="32"/>
          <w:szCs w:val="32"/>
        </w:rPr>
        <w:t>增加8.63</w:t>
      </w:r>
      <w:r>
        <w:rPr>
          <w:rFonts w:hint="eastAsia" w:ascii="仿宋_GB2312" w:hAnsi="黑体" w:eastAsia="仿宋_GB2312"/>
          <w:color w:val="000000" w:themeColor="text1"/>
          <w:sz w:val="32"/>
          <w:szCs w:val="32"/>
        </w:rPr>
        <w:t>万元，主要是在人员薪资增长，基本工资、绩效工资及津贴补贴等逐年增加，预算也随着增加。</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八、关于</w:t>
      </w:r>
      <w:r>
        <w:rPr>
          <w:rFonts w:hint="eastAsia" w:ascii="黑体" w:hAnsi="黑体" w:eastAsia="黑体"/>
          <w:color w:val="000000" w:themeColor="text1"/>
          <w:sz w:val="32"/>
          <w:szCs w:val="32"/>
        </w:rPr>
        <w:t>三亚市育才青法小学2022</w:t>
      </w:r>
      <w:r>
        <w:rPr>
          <w:rFonts w:hint="eastAsia" w:ascii="黑体" w:hAnsi="黑体" w:eastAsia="黑体"/>
          <w:color w:val="000000" w:themeColor="text1"/>
          <w:sz w:val="32"/>
          <w:shd w:val="clear" w:color="auto" w:fill="FFFFFF"/>
        </w:rPr>
        <w:t>年支出预算情况说明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三亚市育才青法小学2022年支出预算</w:t>
      </w:r>
      <w:r>
        <w:rPr>
          <w:rFonts w:hint="eastAsia" w:ascii="仿宋_GB2312" w:hAnsi="黑体" w:eastAsia="仿宋_GB2312" w:cs="仿宋_GB2312"/>
          <w:color w:val="000000" w:themeColor="text1"/>
          <w:sz w:val="32"/>
          <w:szCs w:val="32"/>
        </w:rPr>
        <w:t>203.37</w:t>
      </w:r>
      <w:r>
        <w:rPr>
          <w:rFonts w:hint="eastAsia" w:ascii="仿宋_GB2312" w:hAnsi="黑体" w:eastAsia="仿宋_GB2312"/>
          <w:color w:val="000000" w:themeColor="text1"/>
          <w:sz w:val="32"/>
          <w:szCs w:val="32"/>
        </w:rPr>
        <w:t>万元，其中：基本支出</w:t>
      </w:r>
      <w:r>
        <w:rPr>
          <w:rFonts w:hint="eastAsia" w:ascii="仿宋_GB2312" w:hAnsi="黑体" w:eastAsia="仿宋_GB2312" w:cs="仿宋_GB2312"/>
          <w:color w:val="000000" w:themeColor="text1"/>
          <w:sz w:val="32"/>
          <w:szCs w:val="32"/>
        </w:rPr>
        <w:t>190.37</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93.61</w:t>
      </w:r>
      <w:r>
        <w:rPr>
          <w:rFonts w:hint="eastAsia" w:ascii="仿宋_GB2312" w:hAnsi="黑体" w:eastAsia="仿宋_GB2312"/>
          <w:color w:val="000000" w:themeColor="text1"/>
          <w:sz w:val="32"/>
          <w:szCs w:val="32"/>
        </w:rPr>
        <w:t>%；项目支出</w:t>
      </w:r>
      <w:r>
        <w:rPr>
          <w:rFonts w:hint="eastAsia" w:ascii="仿宋_GB2312" w:hAnsi="黑体" w:eastAsia="仿宋_GB2312" w:cs="仿宋_GB2312"/>
          <w:color w:val="000000" w:themeColor="text1"/>
          <w:sz w:val="32"/>
          <w:szCs w:val="32"/>
        </w:rPr>
        <w:t>13</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6.39</w:t>
      </w:r>
      <w:r>
        <w:rPr>
          <w:rFonts w:hint="eastAsia" w:ascii="仿宋_GB2312" w:hAnsi="黑体" w:eastAsia="仿宋_GB2312"/>
          <w:color w:val="000000" w:themeColor="text1"/>
          <w:sz w:val="32"/>
          <w:szCs w:val="32"/>
        </w:rPr>
        <w:t>%。总预算数比上年预算数</w:t>
      </w:r>
      <w:r>
        <w:rPr>
          <w:rFonts w:hint="eastAsia" w:ascii="仿宋_GB2312" w:hAnsi="黑体" w:eastAsia="仿宋_GB2312" w:cs="仿宋_GB2312"/>
          <w:color w:val="000000" w:themeColor="text1"/>
          <w:sz w:val="32"/>
          <w:szCs w:val="32"/>
        </w:rPr>
        <w:t>增加8.63</w:t>
      </w:r>
      <w:r>
        <w:rPr>
          <w:rFonts w:hint="eastAsia" w:ascii="仿宋_GB2312" w:hAnsi="黑体" w:eastAsia="仿宋_GB2312"/>
          <w:color w:val="000000" w:themeColor="text1"/>
          <w:sz w:val="32"/>
          <w:szCs w:val="32"/>
        </w:rPr>
        <w:t>万元，主要是在人员薪资增长，基本工资、绩效工资及津贴补贴等逐年增加，预算也随着增加。</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三亚市育才青法小学</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三亚市育才青法小学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三亚市育才青法小学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numPr>
          <w:ilvl w:val="0"/>
          <w:numId w:val="5"/>
        </w:numPr>
        <w:ind w:firstLine="640" w:firstLineChars="200"/>
        <w:rPr>
          <w:rFonts w:hint="eastAsia" w:ascii="Times New Roman" w:hAnsi="Times New Roman" w:eastAsia="方正楷体_GBK" w:cs="Times New Roman"/>
          <w:color w:val="auto"/>
          <w:sz w:val="32"/>
          <w:szCs w:val="32"/>
          <w:lang w:val="en-US" w:eastAsia="zh-CN"/>
        </w:rPr>
      </w:pPr>
      <w:r>
        <w:rPr>
          <w:rFonts w:hint="eastAsia" w:ascii="Times New Roman" w:hAnsi="Times New Roman" w:eastAsia="方正楷体_GBK" w:cs="Times New Roman"/>
          <w:color w:val="auto"/>
          <w:sz w:val="32"/>
          <w:szCs w:val="32"/>
          <w:lang w:val="en-US" w:eastAsia="zh-CN"/>
        </w:rPr>
        <w:t>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w:t>
      </w:r>
      <w:r>
        <w:rPr>
          <w:rFonts w:hint="eastAsia" w:ascii="仿宋_GB2312" w:hAnsi="黑体" w:eastAsia="仿宋_GB2312" w:cs="仿宋_GB2312"/>
          <w:sz w:val="32"/>
          <w:szCs w:val="32"/>
          <w:lang w:val="en-US" w:eastAsia="zh-CN"/>
        </w:rPr>
        <w:t>三亚市育才青法小学10</w:t>
      </w:r>
      <w:r>
        <w:rPr>
          <w:rFonts w:hint="default" w:ascii="Times New Roman" w:hAnsi="Times New Roman" w:eastAsia="仿宋_GB2312" w:cs="Times New Roman"/>
          <w:sz w:val="32"/>
          <w:szCs w:val="32"/>
        </w:rPr>
        <w:t>个项目实行绩效目标管理，涉及一般公共预算</w:t>
      </w:r>
      <w:r>
        <w:rPr>
          <w:rFonts w:hint="eastAsia" w:ascii="仿宋_GB2312" w:hAnsi="黑体" w:eastAsia="仿宋_GB2312" w:cs="仿宋_GB2312"/>
          <w:color w:val="000000" w:themeColor="text1"/>
          <w:sz w:val="32"/>
          <w:szCs w:val="32"/>
        </w:rPr>
        <w:t>203.37</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numPr>
          <w:numId w:val="0"/>
        </w:numPr>
        <w:rPr>
          <w:rFonts w:hint="eastAsia" w:ascii="Times New Roman" w:hAnsi="Times New Roman" w:eastAsia="方正楷体_GBK" w:cs="Times New Roman"/>
          <w:color w:val="FF0000"/>
          <w:sz w:val="32"/>
          <w:szCs w:val="32"/>
          <w:lang w:val="en-US" w:eastAsia="zh-CN"/>
        </w:rPr>
      </w:pPr>
      <w:bookmarkStart w:id="0" w:name="_GoBack"/>
      <w:bookmarkEnd w:id="0"/>
    </w:p>
    <w:p>
      <w:pPr>
        <w:ind w:firstLine="640" w:firstLineChars="200"/>
        <w:rPr>
          <w:rFonts w:hint="eastAsia" w:ascii="仿宋_GB2312" w:hAnsi="黑体" w:eastAsia="仿宋_GB2312" w:cs="仿宋_GB2312"/>
          <w:sz w:val="32"/>
          <w:szCs w:val="32"/>
          <w:lang w:eastAsia="zh-CN"/>
        </w:rPr>
      </w:pPr>
    </w:p>
    <w:p>
      <w:pPr>
        <w:jc w:val="center"/>
        <w:rPr>
          <w:rFonts w:ascii="黑体" w:hAnsi="黑体" w:eastAsia="黑体"/>
          <w:b/>
          <w:color w:val="000000" w:themeColor="text1"/>
          <w:sz w:val="32"/>
          <w:szCs w:val="32"/>
        </w:rPr>
      </w:pPr>
      <w:r>
        <w:rPr>
          <w:rFonts w:hint="eastAsia" w:ascii="黑体" w:hAnsi="黑体" w:eastAsia="黑体"/>
          <w:b/>
          <w:color w:val="000000" w:themeColor="text1"/>
          <w:sz w:val="32"/>
          <w:szCs w:val="32"/>
        </w:rPr>
        <w:t>第四部分  名词解释</w:t>
      </w:r>
    </w:p>
    <w:p>
      <w:pPr>
        <w:ind w:firstLine="640" w:firstLineChars="200"/>
        <w:jc w:val="left"/>
        <w:rPr>
          <w:rFonts w:ascii="仿宋_GB2312" w:eastAsia="仿宋_GB2312" w:cs="宋体"/>
          <w:bCs/>
          <w:color w:val="000000" w:themeColor="text1"/>
          <w:kern w:val="0"/>
          <w:sz w:val="32"/>
          <w:szCs w:val="32"/>
          <w:lang w:val="zh-CN"/>
        </w:rPr>
      </w:pP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color w:val="000000" w:themeColor="text1"/>
        </w:rPr>
      </w:pPr>
      <w:r>
        <w:rPr>
          <w:rFonts w:hint="eastAsia" w:ascii="仿宋_GB2312" w:hAnsi="宋体" w:eastAsia="仿宋_GB2312" w:cs="宋体"/>
          <w:color w:val="000000" w:themeColor="text1"/>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7A73CA6"/>
    <w:multiLevelType w:val="singleLevel"/>
    <w:tmpl w:val="37A73CA6"/>
    <w:lvl w:ilvl="0" w:tentative="0">
      <w:start w:val="4"/>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YzOTg1YjY2NDk5MGI5ODIwYWRkOGU4ZTY2MjRlNjIifQ=="/>
  </w:docVars>
  <w:rsids>
    <w:rsidRoot w:val="00F96F26"/>
    <w:rsid w:val="00063940"/>
    <w:rsid w:val="00356625"/>
    <w:rsid w:val="003A5F2B"/>
    <w:rsid w:val="004D747F"/>
    <w:rsid w:val="005748A4"/>
    <w:rsid w:val="006511F9"/>
    <w:rsid w:val="006C5DB7"/>
    <w:rsid w:val="007049E5"/>
    <w:rsid w:val="00790F62"/>
    <w:rsid w:val="00794588"/>
    <w:rsid w:val="007C0278"/>
    <w:rsid w:val="008A7F6C"/>
    <w:rsid w:val="008C3989"/>
    <w:rsid w:val="00907821"/>
    <w:rsid w:val="009717D5"/>
    <w:rsid w:val="009F13D1"/>
    <w:rsid w:val="00A41323"/>
    <w:rsid w:val="00A6662B"/>
    <w:rsid w:val="00BD4566"/>
    <w:rsid w:val="00BE14C2"/>
    <w:rsid w:val="00D2797F"/>
    <w:rsid w:val="00D57A57"/>
    <w:rsid w:val="00F96F26"/>
    <w:rsid w:val="055D7926"/>
    <w:rsid w:val="136B5C09"/>
    <w:rsid w:val="1DC90973"/>
    <w:rsid w:val="1E1C3FAA"/>
    <w:rsid w:val="1FDF2DFD"/>
    <w:rsid w:val="213C2E4A"/>
    <w:rsid w:val="221D3645"/>
    <w:rsid w:val="24411DA6"/>
    <w:rsid w:val="275D02A6"/>
    <w:rsid w:val="37CB353A"/>
    <w:rsid w:val="3DFB0789"/>
    <w:rsid w:val="3E2E9691"/>
    <w:rsid w:val="3E8A37C1"/>
    <w:rsid w:val="44B015DB"/>
    <w:rsid w:val="47EB4C90"/>
    <w:rsid w:val="49925D6D"/>
    <w:rsid w:val="4B1404B7"/>
    <w:rsid w:val="4D6F752E"/>
    <w:rsid w:val="5412594B"/>
    <w:rsid w:val="54C836DC"/>
    <w:rsid w:val="58934127"/>
    <w:rsid w:val="616E42AA"/>
    <w:rsid w:val="66CB15DA"/>
    <w:rsid w:val="696521C0"/>
    <w:rsid w:val="6F77FA9C"/>
    <w:rsid w:val="750466E9"/>
    <w:rsid w:val="7578E2A3"/>
    <w:rsid w:val="7A875607"/>
    <w:rsid w:val="7C3B1317"/>
    <w:rsid w:val="7DD13954"/>
    <w:rsid w:val="CDCB9F59"/>
    <w:rsid w:val="F6710D18"/>
    <w:rsid w:val="FEC1712A"/>
    <w:rsid w:val="FFEE56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1"/>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qFormat/>
    <w:uiPriority w:val="0"/>
    <w:rPr>
      <w:sz w:val="21"/>
      <w:szCs w:val="21"/>
    </w:rPr>
  </w:style>
  <w:style w:type="paragraph" w:customStyle="1" w:styleId="10">
    <w:name w:val="列出段落1"/>
    <w:basedOn w:val="1"/>
    <w:qFormat/>
    <w:uiPriority w:val="34"/>
    <w:pPr>
      <w:ind w:firstLine="420" w:firstLineChars="200"/>
    </w:pPr>
  </w:style>
  <w:style w:type="character" w:customStyle="1" w:styleId="11">
    <w:name w:val="批注框文本 Char"/>
    <w:basedOn w:val="8"/>
    <w:link w:val="4"/>
    <w:qFormat/>
    <w:uiPriority w:val="0"/>
    <w:rPr>
      <w:rFonts w:ascii="Calibri" w:hAnsi="Calibri" w:cs="黑体"/>
      <w:kern w:val="2"/>
      <w:sz w:val="18"/>
      <w:szCs w:val="18"/>
    </w:rPr>
  </w:style>
  <w:style w:type="paragraph" w:customStyle="1" w:styleId="12">
    <w:name w:val="列出段落2"/>
    <w:basedOn w:val="1"/>
    <w:qFormat/>
    <w:uiPriority w:val="34"/>
    <w:pPr>
      <w:ind w:firstLine="420" w:firstLineChars="200"/>
    </w:pPr>
  </w:style>
  <w:style w:type="character" w:customStyle="1" w:styleId="13">
    <w:name w:val="页眉 Char"/>
    <w:basedOn w:val="8"/>
    <w:link w:val="6"/>
    <w:qFormat/>
    <w:uiPriority w:val="0"/>
    <w:rPr>
      <w:rFonts w:ascii="Calibri" w:hAnsi="Calibri" w:cs="黑体"/>
      <w:kern w:val="2"/>
      <w:sz w:val="18"/>
      <w:szCs w:val="18"/>
    </w:rPr>
  </w:style>
  <w:style w:type="character" w:customStyle="1" w:styleId="14">
    <w:name w:val="页脚 Char"/>
    <w:basedOn w:val="8"/>
    <w:link w:val="5"/>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2886</Words>
  <Characters>404</Characters>
  <Lines>3</Lines>
  <Paragraphs>6</Paragraphs>
  <TotalTime>0</TotalTime>
  <ScaleCrop>false</ScaleCrop>
  <LinksUpToDate>false</LinksUpToDate>
  <CharactersWithSpaces>3284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2023-07-13T03:46:00Z</dcterms:created>
  <dc:creator>Administrator</dc:creator>
  <cp:lastModifiedBy>user</cp:lastModifiedBy>
  <dcterms:modified xsi:type="dcterms:W3CDTF">2023-11-01T11:16:33Z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5E210CE0E7C243A8B6F77BD25FF71F4B_12</vt:lpwstr>
  </property>
</Properties>
</file>