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val="0"/>
        <w:pageBreakBefore w:val="0"/>
        <w:widowControl w:val="0"/>
        <w:kinsoku/>
        <w:wordWrap/>
        <w:overflowPunct/>
        <w:topLinePunct w:val="0"/>
        <w:autoSpaceDE/>
        <w:autoSpaceDN/>
        <w:bidi w:val="0"/>
        <w:adjustRightInd/>
        <w:snapToGrid/>
        <w:spacing w:line="560" w:lineRule="exact"/>
        <w:ind w:left="0" w:firstLine="1680" w:firstLineChars="200"/>
        <w:textAlignment w:val="auto"/>
        <w:rPr>
          <w:sz w:val="84"/>
          <w:szCs w:val="84"/>
          <w:u w:val="single"/>
        </w:rPr>
      </w:pPr>
      <w:bookmarkStart w:id="0" w:name="_GoBack"/>
      <w:bookmarkEnd w:id="0"/>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textAlignment w:val="auto"/>
        <w:rPr>
          <w:sz w:val="84"/>
          <w:szCs w:val="84"/>
          <w:u w:val="singl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textAlignment w:val="auto"/>
        <w:rPr>
          <w:sz w:val="84"/>
          <w:szCs w:val="84"/>
          <w:u w:val="single"/>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textAlignment w:val="auto"/>
        <w:rPr>
          <w:sz w:val="84"/>
          <w:szCs w:val="84"/>
          <w:u w:val="single"/>
        </w:rPr>
      </w:pPr>
    </w:p>
    <w:p>
      <w:pPr>
        <w:keepNext/>
        <w:keepLines w:val="0"/>
        <w:pageBreakBefore w:val="0"/>
        <w:widowControl w:val="0"/>
        <w:kinsoku/>
        <w:wordWrap/>
        <w:overflowPunct/>
        <w:topLinePunct w:val="0"/>
        <w:autoSpaceDE/>
        <w:autoSpaceDN/>
        <w:bidi w:val="0"/>
        <w:adjustRightInd/>
        <w:snapToGrid/>
        <w:spacing w:line="240" w:lineRule="auto"/>
        <w:ind w:left="0" w:firstLine="1680" w:firstLineChars="200"/>
        <w:textAlignment w:val="auto"/>
        <w:rPr>
          <w:sz w:val="84"/>
          <w:szCs w:val="84"/>
          <w:u w:val="single"/>
        </w:rPr>
      </w:pPr>
    </w:p>
    <w:p>
      <w:pPr>
        <w:keepNext/>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84"/>
          <w:szCs w:val="84"/>
        </w:rPr>
      </w:pPr>
      <w:r>
        <w:rPr>
          <w:rFonts w:hint="eastAsia"/>
          <w:sz w:val="84"/>
          <w:szCs w:val="84"/>
        </w:rPr>
        <w:t>2022年三亚市</w:t>
      </w:r>
    </w:p>
    <w:p>
      <w:pPr>
        <w:keepNext/>
        <w:keepLines w:val="0"/>
        <w:pageBreakBefore w:val="0"/>
        <w:widowControl w:val="0"/>
        <w:kinsoku/>
        <w:wordWrap/>
        <w:overflowPunct/>
        <w:topLinePunct w:val="0"/>
        <w:autoSpaceDE/>
        <w:autoSpaceDN/>
        <w:bidi w:val="0"/>
        <w:adjustRightInd/>
        <w:snapToGrid/>
        <w:spacing w:line="240" w:lineRule="auto"/>
        <w:jc w:val="center"/>
        <w:textAlignment w:val="auto"/>
        <w:rPr>
          <w:sz w:val="84"/>
          <w:szCs w:val="84"/>
        </w:rPr>
      </w:pPr>
      <w:r>
        <w:rPr>
          <w:rFonts w:hint="eastAsia"/>
          <w:sz w:val="84"/>
          <w:szCs w:val="84"/>
        </w:rPr>
        <w:t>商务局单位预算说明</w:t>
      </w:r>
    </w:p>
    <w:p>
      <w:pPr>
        <w:keepNext/>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84"/>
          <w:szCs w:val="84"/>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sz w:val="84"/>
          <w:szCs w:val="84"/>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sz w:val="84"/>
          <w:szCs w:val="84"/>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sz w:val="84"/>
          <w:szCs w:val="84"/>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sz w:val="84"/>
          <w:szCs w:val="84"/>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sz w:val="84"/>
          <w:szCs w:val="84"/>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sz w:val="84"/>
          <w:szCs w:val="84"/>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sz w:val="84"/>
          <w:szCs w:val="84"/>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sz w:val="84"/>
          <w:szCs w:val="84"/>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sz w:val="84"/>
          <w:szCs w:val="84"/>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sz w:val="84"/>
          <w:szCs w:val="84"/>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sz w:val="84"/>
          <w:szCs w:val="84"/>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sz w:val="84"/>
          <w:szCs w:val="84"/>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sz w:val="84"/>
          <w:szCs w:val="84"/>
        </w:rPr>
      </w:pPr>
    </w:p>
    <w:p>
      <w:pPr>
        <w:keepNext/>
        <w:keepLines w:val="0"/>
        <w:pageBreakBefore w:val="0"/>
        <w:widowControl w:val="0"/>
        <w:kinsoku/>
        <w:wordWrap/>
        <w:overflowPunct/>
        <w:topLinePunct w:val="0"/>
        <w:autoSpaceDE/>
        <w:autoSpaceDN/>
        <w:bidi w:val="0"/>
        <w:adjustRightInd/>
        <w:snapToGrid/>
        <w:spacing w:line="560" w:lineRule="exact"/>
        <w:ind w:left="0" w:firstLine="1680" w:firstLineChars="200"/>
        <w:jc w:val="center"/>
        <w:textAlignment w:val="auto"/>
        <w:rPr>
          <w:sz w:val="84"/>
          <w:szCs w:val="84"/>
        </w:rPr>
      </w:pPr>
    </w:p>
    <w:p>
      <w:pPr>
        <w:keepNext/>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sz w:val="52"/>
          <w:szCs w:val="52"/>
        </w:rPr>
      </w:pPr>
    </w:p>
    <w:p>
      <w:pPr>
        <w:keepNext/>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sz w:val="52"/>
          <w:szCs w:val="52"/>
        </w:rPr>
      </w:pPr>
      <w:r>
        <w:rPr>
          <w:rFonts w:hint="eastAsia" w:ascii="黑体" w:hAnsi="黑体" w:eastAsia="黑体"/>
          <w:sz w:val="52"/>
          <w:szCs w:val="52"/>
        </w:rPr>
        <w:t>目录</w:t>
      </w:r>
    </w:p>
    <w:p>
      <w:pPr>
        <w:keepNext/>
        <w:keepLines w:val="0"/>
        <w:pageBreakBefore w:val="0"/>
        <w:widowControl w:val="0"/>
        <w:kinsoku/>
        <w:wordWrap/>
        <w:overflowPunct/>
        <w:topLinePunct w:val="0"/>
        <w:autoSpaceDE/>
        <w:autoSpaceDN/>
        <w:bidi w:val="0"/>
        <w:adjustRightInd/>
        <w:snapToGrid/>
        <w:spacing w:line="560" w:lineRule="exact"/>
        <w:ind w:left="0" w:firstLine="1040" w:firstLineChars="200"/>
        <w:jc w:val="center"/>
        <w:textAlignment w:val="auto"/>
        <w:rPr>
          <w:rFonts w:hint="eastAsia" w:ascii="黑体" w:hAnsi="黑体" w:eastAsia="黑体"/>
          <w:sz w:val="52"/>
          <w:szCs w:val="52"/>
        </w:rPr>
      </w:pPr>
    </w:p>
    <w:p>
      <w:pPr>
        <w:pStyle w:val="7"/>
        <w:keepNext/>
        <w:keepLines w:val="0"/>
        <w:pageBreakBefore w:val="0"/>
        <w:widowControl w:val="0"/>
        <w:numPr>
          <w:ilvl w:val="0"/>
          <w:numId w:val="1"/>
        </w:numPr>
        <w:kinsoku/>
        <w:wordWrap/>
        <w:overflowPunct/>
        <w:topLinePunct w:val="0"/>
        <w:autoSpaceDE/>
        <w:autoSpaceDN/>
        <w:bidi w:val="0"/>
        <w:adjustRightInd/>
        <w:snapToGrid/>
        <w:spacing w:line="560" w:lineRule="exact"/>
        <w:ind w:left="0" w:firstLine="640" w:firstLineChars="200"/>
        <w:jc w:val="left"/>
        <w:textAlignment w:val="auto"/>
        <w:rPr>
          <w:rFonts w:ascii="黑体" w:hAnsi="黑体" w:eastAsia="黑体"/>
          <w:sz w:val="32"/>
          <w:szCs w:val="32"/>
        </w:rPr>
      </w:pPr>
      <w:r>
        <w:rPr>
          <w:rFonts w:hint="eastAsia" w:ascii="黑体" w:hAnsi="黑体" w:eastAsia="黑体"/>
          <w:sz w:val="32"/>
          <w:szCs w:val="32"/>
        </w:rPr>
        <w:t xml:space="preserve">  </w:t>
      </w:r>
      <w:r>
        <w:rPr>
          <w:rFonts w:hint="default" w:ascii="Times New Roman" w:hAnsi="Times New Roman" w:eastAsia="黑体" w:cs="Times New Roman"/>
          <w:sz w:val="32"/>
          <w:szCs w:val="32"/>
          <w:lang w:eastAsia="zh-CN"/>
        </w:rPr>
        <w:t>三亚市商务局</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概况</w:t>
      </w:r>
    </w:p>
    <w:p>
      <w:pPr>
        <w:pStyle w:val="7"/>
        <w:keepNext/>
        <w:keepLines w:val="0"/>
        <w:pageBreakBefore w:val="0"/>
        <w:widowControl w:val="0"/>
        <w:numPr>
          <w:ilvl w:val="0"/>
          <w:numId w:val="1"/>
        </w:numPr>
        <w:kinsoku/>
        <w:wordWrap/>
        <w:overflowPunct/>
        <w:topLinePunct w:val="0"/>
        <w:autoSpaceDE/>
        <w:autoSpaceDN/>
        <w:bidi w:val="0"/>
        <w:adjustRightInd/>
        <w:snapToGrid/>
        <w:spacing w:line="560" w:lineRule="exact"/>
        <w:ind w:left="0" w:firstLine="640" w:firstLineChars="200"/>
        <w:textAlignment w:val="auto"/>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default" w:ascii="Times New Roman" w:hAnsi="Times New Roman" w:eastAsia="黑体" w:cs="Times New Roman"/>
          <w:sz w:val="32"/>
          <w:szCs w:val="32"/>
          <w:lang w:eastAsia="zh-CN"/>
        </w:rPr>
        <w:t>三亚市商务局</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lang w:val="en-US" w:eastAsia="zh-CN"/>
        </w:rPr>
        <w:t>年</w:t>
      </w:r>
      <w:r>
        <w:rPr>
          <w:rFonts w:hint="eastAsia" w:ascii="Times New Roman" w:hAnsi="Times New Roman" w:eastAsia="黑体" w:cs="Times New Roman"/>
          <w:sz w:val="32"/>
          <w:szCs w:val="32"/>
          <w:lang w:val="en-US" w:eastAsia="zh-CN"/>
        </w:rPr>
        <w:t>单位</w:t>
      </w:r>
      <w:r>
        <w:rPr>
          <w:rFonts w:hint="default" w:ascii="Times New Roman" w:hAnsi="Times New Roman" w:eastAsia="黑体" w:cs="Times New Roman"/>
          <w:sz w:val="32"/>
          <w:szCs w:val="32"/>
        </w:rPr>
        <w:t>预算表</w:t>
      </w:r>
    </w:p>
    <w:p>
      <w:pPr>
        <w:pStyle w:val="7"/>
        <w:keepNext/>
        <w:keepLines w:val="0"/>
        <w:pageBreakBefore w:val="0"/>
        <w:widowControl w:val="0"/>
        <w:numPr>
          <w:ilvl w:val="0"/>
          <w:numId w:val="2"/>
        </w:numPr>
        <w:kinsoku/>
        <w:wordWrap/>
        <w:overflowPunct/>
        <w:topLinePunct w:val="0"/>
        <w:autoSpaceDE/>
        <w:autoSpaceDN/>
        <w:bidi w:val="0"/>
        <w:adjustRightInd/>
        <w:snapToGrid/>
        <w:spacing w:line="560"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keepNext/>
        <w:keepLines w:val="0"/>
        <w:pageBreakBefore w:val="0"/>
        <w:widowControl w:val="0"/>
        <w:numPr>
          <w:ilvl w:val="0"/>
          <w:numId w:val="2"/>
        </w:numPr>
        <w:kinsoku/>
        <w:wordWrap/>
        <w:overflowPunct/>
        <w:topLinePunct w:val="0"/>
        <w:autoSpaceDE/>
        <w:autoSpaceDN/>
        <w:bidi w:val="0"/>
        <w:adjustRightInd/>
        <w:snapToGrid/>
        <w:spacing w:line="560"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keepNext/>
        <w:keepLines w:val="0"/>
        <w:pageBreakBefore w:val="0"/>
        <w:widowControl w:val="0"/>
        <w:numPr>
          <w:ilvl w:val="0"/>
          <w:numId w:val="2"/>
        </w:numPr>
        <w:kinsoku/>
        <w:wordWrap/>
        <w:overflowPunct/>
        <w:topLinePunct w:val="0"/>
        <w:autoSpaceDE/>
        <w:autoSpaceDN/>
        <w:bidi w:val="0"/>
        <w:adjustRightInd/>
        <w:snapToGrid/>
        <w:spacing w:line="560"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keepNext/>
        <w:keepLines w:val="0"/>
        <w:pageBreakBefore w:val="0"/>
        <w:widowControl w:val="0"/>
        <w:numPr>
          <w:ilvl w:val="0"/>
          <w:numId w:val="2"/>
        </w:numPr>
        <w:kinsoku/>
        <w:wordWrap/>
        <w:overflowPunct/>
        <w:topLinePunct w:val="0"/>
        <w:autoSpaceDE/>
        <w:autoSpaceDN/>
        <w:bidi w:val="0"/>
        <w:adjustRightInd/>
        <w:snapToGrid/>
        <w:spacing w:line="560"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keepNext/>
        <w:keepLines w:val="0"/>
        <w:pageBreakBefore w:val="0"/>
        <w:widowControl w:val="0"/>
        <w:numPr>
          <w:ilvl w:val="0"/>
          <w:numId w:val="2"/>
        </w:numPr>
        <w:kinsoku/>
        <w:wordWrap/>
        <w:overflowPunct/>
        <w:topLinePunct w:val="0"/>
        <w:autoSpaceDE/>
        <w:autoSpaceDN/>
        <w:bidi w:val="0"/>
        <w:adjustRightInd/>
        <w:snapToGrid/>
        <w:spacing w:line="560"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keepNext/>
        <w:keepLines w:val="0"/>
        <w:pageBreakBefore w:val="0"/>
        <w:widowControl w:val="0"/>
        <w:numPr>
          <w:ilvl w:val="0"/>
          <w:numId w:val="2"/>
        </w:numPr>
        <w:kinsoku/>
        <w:wordWrap/>
        <w:overflowPunct/>
        <w:topLinePunct w:val="0"/>
        <w:autoSpaceDE/>
        <w:autoSpaceDN/>
        <w:bidi w:val="0"/>
        <w:adjustRightInd/>
        <w:snapToGrid/>
        <w:spacing w:line="560"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keepNext/>
        <w:keepLines w:val="0"/>
        <w:pageBreakBefore w:val="0"/>
        <w:widowControl w:val="0"/>
        <w:numPr>
          <w:ilvl w:val="0"/>
          <w:numId w:val="2"/>
        </w:numPr>
        <w:kinsoku/>
        <w:wordWrap/>
        <w:overflowPunct/>
        <w:topLinePunct w:val="0"/>
        <w:autoSpaceDE/>
        <w:autoSpaceDN/>
        <w:bidi w:val="0"/>
        <w:adjustRightInd/>
        <w:snapToGrid/>
        <w:spacing w:line="560" w:lineRule="exact"/>
        <w:ind w:left="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keepNext/>
        <w:keepLines w:val="0"/>
        <w:pageBreakBefore w:val="0"/>
        <w:widowControl w:val="0"/>
        <w:numPr>
          <w:ilvl w:val="0"/>
          <w:numId w:val="2"/>
        </w:numPr>
        <w:kinsoku/>
        <w:wordWrap/>
        <w:overflowPunct/>
        <w:topLinePunct w:val="0"/>
        <w:autoSpaceDE/>
        <w:autoSpaceDN/>
        <w:bidi w:val="0"/>
        <w:adjustRightInd/>
        <w:snapToGrid/>
        <w:spacing w:line="560" w:lineRule="exact"/>
        <w:ind w:left="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keepNext/>
        <w:keepLines w:val="0"/>
        <w:pageBreakBefore w:val="0"/>
        <w:widowControl w:val="0"/>
        <w:numPr>
          <w:ilvl w:val="0"/>
          <w:numId w:val="2"/>
        </w:numPr>
        <w:kinsoku/>
        <w:wordWrap/>
        <w:overflowPunct/>
        <w:topLinePunct w:val="0"/>
        <w:autoSpaceDE/>
        <w:autoSpaceDN/>
        <w:bidi w:val="0"/>
        <w:adjustRightInd/>
        <w:snapToGrid/>
        <w:spacing w:line="560" w:lineRule="exact"/>
        <w:ind w:left="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keepNext/>
        <w:keepLines w:val="0"/>
        <w:pageBreakBefore w:val="0"/>
        <w:widowControl w:val="0"/>
        <w:numPr>
          <w:ilvl w:val="0"/>
          <w:numId w:val="2"/>
        </w:numPr>
        <w:kinsoku/>
        <w:wordWrap/>
        <w:overflowPunct/>
        <w:topLinePunct w:val="0"/>
        <w:autoSpaceDE/>
        <w:autoSpaceDN/>
        <w:bidi w:val="0"/>
        <w:adjustRightInd/>
        <w:snapToGrid/>
        <w:spacing w:line="560" w:lineRule="exact"/>
        <w:ind w:left="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keepNext/>
        <w:keepLines w:val="0"/>
        <w:pageBreakBefore w:val="0"/>
        <w:widowControl w:val="0"/>
        <w:numPr>
          <w:ilvl w:val="0"/>
          <w:numId w:val="1"/>
        </w:numPr>
        <w:kinsoku/>
        <w:wordWrap/>
        <w:overflowPunct/>
        <w:topLinePunct w:val="0"/>
        <w:autoSpaceDE/>
        <w:autoSpaceDN/>
        <w:bidi w:val="0"/>
        <w:adjustRightInd/>
        <w:snapToGrid/>
        <w:spacing w:line="560" w:lineRule="exact"/>
        <w:ind w:left="0" w:firstLine="640" w:firstLineChars="200"/>
        <w:jc w:val="left"/>
        <w:textAlignment w:val="auto"/>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三亚市商务局</w:t>
      </w:r>
      <w:r>
        <w:rPr>
          <w:rFonts w:hint="eastAsia" w:ascii="黑体" w:hAnsi="黑体" w:eastAsia="黑体" w:cs="黑体"/>
          <w:sz w:val="32"/>
          <w:szCs w:val="32"/>
        </w:rPr>
        <w:t>单位预算情况</w:t>
      </w:r>
      <w:r>
        <w:rPr>
          <w:rFonts w:hint="eastAsia" w:ascii="黑体" w:hAnsi="黑体" w:eastAsia="黑体"/>
          <w:sz w:val="32"/>
          <w:szCs w:val="32"/>
        </w:rPr>
        <w:t>说明</w:t>
      </w:r>
    </w:p>
    <w:p>
      <w:pPr>
        <w:pStyle w:val="7"/>
        <w:keepNext/>
        <w:keepLines w:val="0"/>
        <w:pageBreakBefore w:val="0"/>
        <w:widowControl w:val="0"/>
        <w:numPr>
          <w:ilvl w:val="0"/>
          <w:numId w:val="1"/>
        </w:numPr>
        <w:kinsoku/>
        <w:wordWrap/>
        <w:overflowPunct/>
        <w:topLinePunct w:val="0"/>
        <w:autoSpaceDE/>
        <w:autoSpaceDN/>
        <w:bidi w:val="0"/>
        <w:adjustRightInd/>
        <w:snapToGrid/>
        <w:spacing w:line="560" w:lineRule="exact"/>
        <w:ind w:left="0" w:firstLine="640" w:firstLineChars="200"/>
        <w:jc w:val="left"/>
        <w:textAlignment w:val="auto"/>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黑体" w:hAnsi="黑体" w:eastAsia="黑体"/>
          <w:sz w:val="32"/>
          <w:szCs w:val="32"/>
        </w:rPr>
      </w:pPr>
    </w:p>
    <w:p>
      <w:pPr>
        <w:pStyle w:val="7"/>
        <w:keepNext/>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ascii="仿宋_GB2312" w:hAnsi="仿宋_GB2312" w:eastAsia="仿宋_GB2312" w:cs="仿宋_GB2312"/>
          <w:sz w:val="32"/>
          <w:szCs w:val="32"/>
        </w:rPr>
      </w:pPr>
      <w:r>
        <w:rPr>
          <w:rFonts w:hint="eastAsia" w:ascii="Times New Roman" w:hAnsi="Times New Roman" w:eastAsia="黑体" w:cs="Times New Roman"/>
          <w:sz w:val="32"/>
          <w:szCs w:val="32"/>
          <w:lang w:eastAsia="zh-CN"/>
        </w:rPr>
        <w:t>第一部分</w:t>
      </w:r>
      <w:r>
        <w:rPr>
          <w:rFonts w:hint="eastAsia"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lang w:eastAsia="zh-CN"/>
        </w:rPr>
        <w:t>三亚市商务局</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概况</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仿宋_GB2312" w:eastAsia="仿宋_GB2312" w:cs="仿宋_GB2312"/>
          <w:sz w:val="32"/>
          <w:szCs w:val="32"/>
        </w:rPr>
      </w:pPr>
    </w:p>
    <w:p>
      <w:pPr>
        <w:pStyle w:val="7"/>
        <w:keepNext/>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市商务局</w:t>
      </w:r>
      <w:r>
        <w:rPr>
          <w:rFonts w:hint="eastAsia" w:ascii="黑体" w:hAnsi="黑体" w:eastAsia="黑体" w:cs="仿宋_GB2312"/>
          <w:sz w:val="32"/>
          <w:szCs w:val="32"/>
        </w:rPr>
        <w:t>主要职能</w:t>
      </w:r>
      <w:r>
        <w:rPr>
          <w:rFonts w:hint="eastAsia" w:ascii="黑体" w:hAnsi="黑体" w:eastAsia="黑体" w:cs="仿宋_GB2312"/>
          <w:sz w:val="32"/>
          <w:szCs w:val="32"/>
          <w:lang w:eastAsia="zh-CN"/>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u w:val="none" w:color="auto"/>
          <w:lang w:eastAsia="zh-CN"/>
        </w:rPr>
      </w:pPr>
      <w:r>
        <w:rPr>
          <w:rFonts w:hint="eastAsia" w:ascii="楷体" w:hAnsi="楷体" w:eastAsia="楷体" w:cs="楷体"/>
          <w:bCs/>
          <w:color w:val="auto"/>
          <w:sz w:val="32"/>
          <w:szCs w:val="32"/>
          <w:u w:val="none" w:color="auto"/>
          <w:lang w:eastAsia="zh-CN"/>
        </w:rPr>
        <w:t>（一）</w:t>
      </w:r>
      <w:r>
        <w:rPr>
          <w:rFonts w:hint="eastAsia" w:ascii="仿宋" w:hAnsi="仿宋" w:eastAsia="仿宋" w:cs="仿宋"/>
          <w:color w:val="auto"/>
          <w:sz w:val="32"/>
          <w:szCs w:val="32"/>
        </w:rPr>
        <w:t>贯彻</w:t>
      </w:r>
      <w:r>
        <w:rPr>
          <w:rFonts w:hint="eastAsia" w:ascii="仿宋" w:hAnsi="仿宋" w:eastAsia="仿宋" w:cs="仿宋"/>
          <w:color w:val="auto"/>
          <w:sz w:val="32"/>
          <w:szCs w:val="32"/>
          <w:lang w:eastAsia="zh-CN"/>
        </w:rPr>
        <w:t>落实</w:t>
      </w:r>
      <w:r>
        <w:rPr>
          <w:rFonts w:hint="eastAsia" w:ascii="仿宋" w:hAnsi="仿宋" w:eastAsia="仿宋" w:cs="仿宋"/>
          <w:color w:val="auto"/>
          <w:sz w:val="32"/>
          <w:szCs w:val="32"/>
        </w:rPr>
        <w:t>党</w:t>
      </w:r>
      <w:r>
        <w:rPr>
          <w:rFonts w:hint="eastAsia" w:ascii="仿宋" w:hAnsi="仿宋" w:eastAsia="仿宋" w:cs="仿宋"/>
          <w:color w:val="auto"/>
          <w:sz w:val="32"/>
          <w:szCs w:val="32"/>
          <w:lang w:eastAsia="zh-CN"/>
        </w:rPr>
        <w:t>和国家、省有关</w:t>
      </w:r>
      <w:r>
        <w:rPr>
          <w:rFonts w:hint="eastAsia" w:ascii="仿宋" w:hAnsi="仿宋" w:eastAsia="仿宋" w:cs="仿宋"/>
          <w:bCs/>
          <w:color w:val="auto"/>
          <w:sz w:val="32"/>
          <w:szCs w:val="32"/>
          <w:u w:val="none" w:color="auto"/>
          <w:lang w:eastAsia="zh-CN"/>
        </w:rPr>
        <w:t>全市内外贸易、国外经济合作、利用外资、口岸管理工作的方针政策、法律法规，执行市委、市政府决策部署和中国（</w:t>
      </w:r>
      <w:r>
        <w:rPr>
          <w:rFonts w:hint="eastAsia" w:ascii="仿宋" w:hAnsi="仿宋" w:eastAsia="仿宋" w:cs="仿宋"/>
          <w:color w:val="auto"/>
          <w:sz w:val="32"/>
          <w:u w:val="none" w:color="auto"/>
        </w:rPr>
        <w:t>海南</w:t>
      </w:r>
      <w:r>
        <w:rPr>
          <w:rFonts w:hint="eastAsia" w:ascii="仿宋" w:hAnsi="仿宋" w:eastAsia="仿宋" w:cs="仿宋"/>
          <w:color w:val="auto"/>
          <w:sz w:val="32"/>
          <w:u w:val="none" w:color="auto"/>
          <w:lang w:eastAsia="zh-CN"/>
        </w:rPr>
        <w:t>）</w:t>
      </w:r>
      <w:r>
        <w:rPr>
          <w:rFonts w:hint="eastAsia" w:ascii="仿宋" w:hAnsi="仿宋" w:eastAsia="仿宋" w:cs="仿宋"/>
          <w:color w:val="auto"/>
          <w:sz w:val="32"/>
          <w:u w:val="none" w:color="auto"/>
        </w:rPr>
        <w:t>自由贸易试验区</w:t>
      </w:r>
      <w:r>
        <w:rPr>
          <w:rFonts w:hint="eastAsia" w:ascii="仿宋" w:hAnsi="仿宋" w:eastAsia="仿宋" w:cs="仿宋"/>
          <w:color w:val="auto"/>
          <w:sz w:val="32"/>
          <w:u w:val="none" w:color="auto"/>
          <w:lang w:eastAsia="zh-CN"/>
        </w:rPr>
        <w:t>、中国特色</w:t>
      </w:r>
      <w:r>
        <w:rPr>
          <w:rFonts w:hint="eastAsia" w:ascii="仿宋" w:hAnsi="仿宋" w:eastAsia="仿宋" w:cs="仿宋"/>
          <w:color w:val="auto"/>
          <w:sz w:val="32"/>
          <w:u w:val="none" w:color="auto"/>
        </w:rPr>
        <w:t>自由贸易港</w:t>
      </w:r>
      <w:r>
        <w:rPr>
          <w:rFonts w:hint="eastAsia" w:ascii="仿宋" w:hAnsi="仿宋" w:eastAsia="仿宋" w:cs="仿宋"/>
          <w:color w:val="auto"/>
          <w:sz w:val="32"/>
          <w:u w:val="none" w:color="auto"/>
          <w:lang w:eastAsia="zh-CN"/>
        </w:rPr>
        <w:t>政策措施，研究提出</w:t>
      </w:r>
      <w:r>
        <w:rPr>
          <w:rFonts w:hint="eastAsia" w:ascii="仿宋" w:hAnsi="仿宋" w:eastAsia="仿宋" w:cs="仿宋"/>
          <w:bCs/>
          <w:color w:val="auto"/>
          <w:sz w:val="32"/>
          <w:szCs w:val="32"/>
          <w:u w:val="none" w:color="auto"/>
          <w:lang w:eastAsia="zh-CN"/>
        </w:rPr>
        <w:t>中国（</w:t>
      </w:r>
      <w:r>
        <w:rPr>
          <w:rFonts w:hint="eastAsia" w:ascii="仿宋" w:hAnsi="仿宋" w:eastAsia="仿宋" w:cs="仿宋"/>
          <w:color w:val="auto"/>
          <w:sz w:val="32"/>
          <w:u w:val="none" w:color="auto"/>
        </w:rPr>
        <w:t>海南</w:t>
      </w:r>
      <w:r>
        <w:rPr>
          <w:rFonts w:hint="eastAsia" w:ascii="仿宋" w:hAnsi="仿宋" w:eastAsia="仿宋" w:cs="仿宋"/>
          <w:color w:val="auto"/>
          <w:sz w:val="32"/>
          <w:u w:val="none" w:color="auto"/>
          <w:lang w:eastAsia="zh-CN"/>
        </w:rPr>
        <w:t>）</w:t>
      </w:r>
      <w:r>
        <w:rPr>
          <w:rFonts w:hint="eastAsia" w:ascii="仿宋" w:hAnsi="仿宋" w:eastAsia="仿宋" w:cs="仿宋"/>
          <w:color w:val="auto"/>
          <w:sz w:val="32"/>
          <w:u w:val="none" w:color="auto"/>
        </w:rPr>
        <w:t>自由贸易试验区</w:t>
      </w:r>
      <w:r>
        <w:rPr>
          <w:rFonts w:hint="eastAsia" w:ascii="仿宋" w:hAnsi="仿宋" w:eastAsia="仿宋" w:cs="仿宋"/>
          <w:color w:val="auto"/>
          <w:sz w:val="32"/>
          <w:u w:val="none" w:color="auto"/>
          <w:lang w:eastAsia="zh-CN"/>
        </w:rPr>
        <w:t>、中国特色</w:t>
      </w:r>
      <w:r>
        <w:rPr>
          <w:rFonts w:hint="eastAsia" w:ascii="仿宋" w:hAnsi="仿宋" w:eastAsia="仿宋" w:cs="仿宋"/>
          <w:color w:val="auto"/>
          <w:sz w:val="32"/>
          <w:u w:val="none" w:color="auto"/>
        </w:rPr>
        <w:t>自由贸易港</w:t>
      </w:r>
      <w:r>
        <w:rPr>
          <w:rFonts w:hint="eastAsia" w:ascii="仿宋" w:hAnsi="仿宋" w:eastAsia="仿宋" w:cs="仿宋"/>
          <w:color w:val="auto"/>
          <w:sz w:val="32"/>
          <w:u w:val="none" w:color="auto"/>
          <w:lang w:eastAsia="zh-CN"/>
        </w:rPr>
        <w:t>有关商务和口岸领域工作方面的意见和建议。</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u w:val="none" w:color="auto"/>
          <w:lang w:val="en-US" w:eastAsia="zh-CN"/>
        </w:rPr>
      </w:pPr>
      <w:r>
        <w:rPr>
          <w:rFonts w:hint="eastAsia" w:ascii="楷体" w:hAnsi="楷体" w:eastAsia="楷体" w:cs="楷体"/>
          <w:color w:val="auto"/>
          <w:sz w:val="32"/>
          <w:u w:val="none" w:color="auto"/>
          <w:lang w:val="en-US" w:eastAsia="zh-CN"/>
        </w:rPr>
        <w:t>（二）</w:t>
      </w:r>
      <w:r>
        <w:rPr>
          <w:rFonts w:hint="eastAsia" w:ascii="仿宋" w:hAnsi="仿宋" w:eastAsia="仿宋" w:cs="仿宋"/>
          <w:color w:val="auto"/>
          <w:sz w:val="32"/>
          <w:u w:val="none" w:color="auto"/>
          <w:lang w:val="en-US" w:eastAsia="zh-CN"/>
        </w:rPr>
        <w:t>牵头探索内外贸易更加灵活的政策体系、监管模式和管理体制，组织实施贸易便利化改革措施，负责管理进出口贸易，推进贸易自由化、便利化工作，协调推进服务贸易创新发展和国际贸易单一窗口建设。</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u w:val="none" w:color="auto"/>
          <w:lang w:val="en-US" w:eastAsia="zh-CN"/>
        </w:rPr>
      </w:pPr>
      <w:r>
        <w:rPr>
          <w:rFonts w:hint="eastAsia" w:ascii="楷体" w:hAnsi="楷体" w:eastAsia="楷体" w:cs="楷体"/>
          <w:color w:val="auto"/>
          <w:sz w:val="32"/>
          <w:u w:val="none" w:color="auto"/>
          <w:lang w:val="en-US" w:eastAsia="zh-CN"/>
        </w:rPr>
        <w:t>（三）</w:t>
      </w:r>
      <w:r>
        <w:rPr>
          <w:rFonts w:hint="eastAsia" w:ascii="仿宋" w:hAnsi="仿宋" w:eastAsia="仿宋" w:cs="仿宋"/>
          <w:color w:val="auto"/>
          <w:sz w:val="32"/>
          <w:u w:val="none" w:color="auto"/>
          <w:lang w:val="en-US" w:eastAsia="zh-CN"/>
        </w:rPr>
        <w:t>负责全市会展业发展工作。</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u w:val="none" w:color="auto"/>
          <w:lang w:val="en-US" w:eastAsia="zh-CN"/>
        </w:rPr>
      </w:pPr>
      <w:r>
        <w:rPr>
          <w:rFonts w:hint="eastAsia" w:ascii="楷体" w:hAnsi="楷体" w:eastAsia="楷体" w:cs="楷体"/>
          <w:color w:val="auto"/>
          <w:sz w:val="32"/>
          <w:u w:val="none" w:color="auto"/>
          <w:lang w:val="en-US" w:eastAsia="zh-CN"/>
        </w:rPr>
        <w:t>（四）</w:t>
      </w:r>
      <w:r>
        <w:rPr>
          <w:rFonts w:hint="eastAsia" w:ascii="仿宋" w:hAnsi="仿宋" w:eastAsia="仿宋" w:cs="仿宋"/>
          <w:color w:val="auto"/>
          <w:sz w:val="32"/>
          <w:u w:val="none" w:color="auto"/>
          <w:lang w:val="en-US" w:eastAsia="zh-CN"/>
        </w:rPr>
        <w:t>组织优化商贸流通体系负责推进全市流通产业供给侧改革，负责商贸服务业行业管理，推动流通标准化建设。推进连锁经营、商业特许经营、电子商务等现代流通方式发展。指导全市商务流通领域信用体系建设，监督管理特殊流通行业。牵头拟定仓储物流业发展规划、计划和政策。负责组织实施全市重要消费品市场调控和重要生产资料流通管理。</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u w:val="none" w:color="auto"/>
          <w:lang w:val="en-US" w:eastAsia="zh-CN"/>
        </w:rPr>
      </w:pPr>
      <w:r>
        <w:rPr>
          <w:rFonts w:hint="eastAsia" w:ascii="楷体" w:hAnsi="楷体" w:eastAsia="楷体" w:cs="楷体"/>
          <w:color w:val="auto"/>
          <w:sz w:val="32"/>
          <w:u w:val="none" w:color="auto"/>
          <w:lang w:val="en-US" w:eastAsia="zh-CN"/>
        </w:rPr>
        <w:t>（五）</w:t>
      </w:r>
      <w:r>
        <w:rPr>
          <w:rFonts w:hint="eastAsia" w:ascii="仿宋" w:hAnsi="仿宋" w:eastAsia="仿宋" w:cs="仿宋"/>
          <w:color w:val="auto"/>
          <w:sz w:val="32"/>
          <w:u w:val="none" w:color="auto"/>
          <w:lang w:val="en-US" w:eastAsia="zh-CN"/>
        </w:rPr>
        <w:t>牵头拟订有关健全和规范城乡市场发展的政策，指导批发市场规划和城市商务网点规划、商业体系建设。推进农村市场建设。</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u w:val="none" w:color="auto"/>
          <w:lang w:val="en-US" w:eastAsia="zh-CN"/>
        </w:rPr>
      </w:pPr>
      <w:r>
        <w:rPr>
          <w:rFonts w:hint="eastAsia" w:ascii="楷体" w:hAnsi="楷体" w:eastAsia="楷体" w:cs="楷体"/>
          <w:color w:val="auto"/>
          <w:sz w:val="32"/>
          <w:u w:val="none" w:color="auto"/>
          <w:lang w:val="en-US" w:eastAsia="zh-CN"/>
        </w:rPr>
        <w:t>（六）</w:t>
      </w:r>
      <w:r>
        <w:rPr>
          <w:rFonts w:hint="eastAsia" w:ascii="仿宋" w:hAnsi="仿宋" w:eastAsia="仿宋" w:cs="仿宋"/>
          <w:color w:val="auto"/>
          <w:sz w:val="32"/>
          <w:u w:val="none" w:color="auto"/>
          <w:lang w:val="en-US" w:eastAsia="zh-CN"/>
        </w:rPr>
        <w:t>牵头拟定口岸建设和对外开放规划、计划；负责口岸查验配套设施规划、建设和通关协调服务，组织推进口岸查验方法、监管模式改革创新。统筹推进电子口岸建设和口岸信息化工作，保障口岸的安全畅通。</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u w:val="none" w:color="auto"/>
          <w:lang w:val="en-US" w:eastAsia="zh-CN"/>
        </w:rPr>
      </w:pPr>
      <w:r>
        <w:rPr>
          <w:rFonts w:hint="eastAsia" w:ascii="楷体" w:hAnsi="楷体" w:eastAsia="楷体" w:cs="楷体"/>
          <w:color w:val="auto"/>
          <w:sz w:val="32"/>
          <w:u w:val="none" w:color="auto"/>
          <w:lang w:val="en-US" w:eastAsia="zh-CN"/>
        </w:rPr>
        <w:t>（七）</w:t>
      </w:r>
      <w:r>
        <w:rPr>
          <w:rFonts w:hint="eastAsia" w:ascii="仿宋" w:hAnsi="仿宋" w:eastAsia="仿宋" w:cs="仿宋"/>
          <w:color w:val="auto"/>
          <w:sz w:val="32"/>
          <w:u w:val="none" w:color="auto"/>
          <w:lang w:val="en-US" w:eastAsia="zh-CN"/>
        </w:rPr>
        <w:t>牵头拟定外商投资政策，负责全市外商投资企业的管理和服务工作，依法监督检查外商投资企业执行有关法律法规情况，集中办理商务领域各项行政审批事项。指导和协调外商投资发展和改善外商投资环境，依法保护外商投资企业的合法权益。</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color w:val="auto"/>
          <w:sz w:val="32"/>
          <w:u w:val="none" w:color="auto"/>
          <w:lang w:val="en-US" w:eastAsia="zh-CN"/>
        </w:rPr>
      </w:pPr>
      <w:r>
        <w:rPr>
          <w:rFonts w:hint="eastAsia" w:ascii="楷体" w:hAnsi="楷体" w:eastAsia="楷体" w:cs="楷体"/>
          <w:color w:val="auto"/>
          <w:sz w:val="32"/>
          <w:u w:val="none" w:color="auto"/>
          <w:lang w:val="en-US" w:eastAsia="zh-CN"/>
        </w:rPr>
        <w:t>（八）</w:t>
      </w:r>
      <w:r>
        <w:rPr>
          <w:rFonts w:hint="eastAsia" w:ascii="仿宋" w:hAnsi="仿宋" w:eastAsia="仿宋" w:cs="仿宋"/>
          <w:color w:val="auto"/>
          <w:sz w:val="32"/>
          <w:u w:val="none" w:color="auto"/>
          <w:lang w:val="en-US" w:eastAsia="zh-CN"/>
        </w:rPr>
        <w:t>检查指导各区商务和口岸工作，完成市委、市政府交办的其他工作。</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eastAsia="zh-CN"/>
        </w:rPr>
        <w:t>机构设置情况</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三亚市商务局设8个内设机构，机关行政编制20名，设局长1名，副局长3名，科级领导职数8名（正科级）。</w:t>
      </w:r>
    </w:p>
    <w:p>
      <w:pPr>
        <w:ind w:firstLine="800" w:firstLineChars="250"/>
        <w:jc w:val="left"/>
        <w:rPr>
          <w:rFonts w:hint="eastAsia" w:ascii="仿宋" w:hAnsi="仿宋" w:eastAsia="仿宋" w:cs="仿宋"/>
          <w:color w:val="FF0000"/>
          <w:sz w:val="32"/>
          <w:szCs w:val="32"/>
          <w:lang w:eastAsia="zh-CN"/>
        </w:rPr>
      </w:pPr>
      <w:r>
        <w:rPr>
          <w:rFonts w:hint="eastAsia" w:ascii="仿宋" w:hAnsi="仿宋" w:eastAsia="仿宋" w:cs="仿宋"/>
          <w:color w:val="000000" w:themeColor="text1"/>
          <w:sz w:val="32"/>
          <w:szCs w:val="32"/>
          <w:lang w:val="en-US" w:eastAsia="zh-CN"/>
          <w14:textFill>
            <w14:solidFill>
              <w14:schemeClr w14:val="tx1"/>
            </w14:solidFill>
          </w14:textFill>
        </w:rPr>
        <w:t>纳入三亚市商务局部门2022年部门预算编制范围的预算单位为</w:t>
      </w:r>
      <w:r>
        <w:rPr>
          <w:rFonts w:hint="eastAsia" w:ascii="仿宋" w:hAnsi="仿宋" w:eastAsia="仿宋" w:cs="仿宋"/>
          <w:color w:val="000000" w:themeColor="text1"/>
          <w:sz w:val="32"/>
          <w:szCs w:val="32"/>
          <w14:textFill>
            <w14:solidFill>
              <w14:schemeClr w14:val="tx1"/>
            </w14:solidFill>
          </w14:textFill>
        </w:rPr>
        <w:t>三亚市墙体材料革新办公室（三亚市散装水泥推广办公室）</w:t>
      </w:r>
      <w:r>
        <w:rPr>
          <w:rFonts w:hint="eastAsia" w:ascii="仿宋" w:hAnsi="仿宋" w:eastAsia="仿宋" w:cs="仿宋"/>
          <w:color w:val="000000" w:themeColor="text1"/>
          <w:sz w:val="32"/>
          <w:szCs w:val="32"/>
          <w:lang w:val="en-US" w:eastAsia="zh-CN"/>
          <w14:textFill>
            <w14:solidFill>
              <w14:schemeClr w14:val="tx1"/>
            </w14:solidFill>
          </w14:textFill>
        </w:rPr>
        <w:t>。</w:t>
      </w:r>
    </w:p>
    <w:p>
      <w:pPr>
        <w:keepNext/>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 xml:space="preserve">第二部分  </w:t>
      </w:r>
      <w:r>
        <w:rPr>
          <w:rFonts w:hint="eastAsia" w:ascii="黑体" w:hAnsi="黑体" w:eastAsia="黑体" w:cs="黑体"/>
          <w:sz w:val="32"/>
          <w:szCs w:val="32"/>
          <w:lang w:eastAsia="zh-CN"/>
        </w:rPr>
        <w:t>三亚市商务局</w:t>
      </w:r>
      <w:r>
        <w:rPr>
          <w:rFonts w:hint="eastAsia" w:ascii="黑体" w:hAnsi="黑体" w:eastAsia="黑体" w:cs="黑体"/>
          <w:sz w:val="32"/>
          <w:szCs w:val="32"/>
          <w:lang w:val="en-US" w:eastAsia="zh-CN"/>
        </w:rPr>
        <w:t>2022年</w:t>
      </w:r>
      <w:r>
        <w:rPr>
          <w:rFonts w:hint="eastAsia" w:ascii="黑体" w:hAnsi="黑体" w:eastAsia="黑体" w:cs="黑体"/>
          <w:sz w:val="32"/>
          <w:szCs w:val="32"/>
        </w:rPr>
        <w:t>单位预算表</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黑体" w:hAnsi="黑体" w:eastAsia="黑体"/>
          <w:sz w:val="32"/>
          <w:szCs w:val="32"/>
        </w:rPr>
      </w:pPr>
    </w:p>
    <w:p>
      <w:pPr>
        <w:pStyle w:val="7"/>
        <w:keepNext/>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财政拨款收支总表</w:t>
      </w:r>
    </w:p>
    <w:p>
      <w:pPr>
        <w:pStyle w:val="7"/>
        <w:keepNext/>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一般公共预算支出表</w:t>
      </w:r>
    </w:p>
    <w:p>
      <w:pPr>
        <w:pStyle w:val="7"/>
        <w:keepNext/>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一般公共预算基本支出表</w:t>
      </w:r>
    </w:p>
    <w:p>
      <w:pPr>
        <w:pStyle w:val="7"/>
        <w:keepNext/>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rPr>
        <w:t>一般公共预算“三公”经费支出表</w:t>
      </w:r>
    </w:p>
    <w:p>
      <w:pPr>
        <w:pStyle w:val="7"/>
        <w:keepNext/>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政府性基金预算支出表。</w:t>
      </w:r>
    </w:p>
    <w:p>
      <w:pPr>
        <w:pStyle w:val="7"/>
        <w:keepNext/>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六、</w:t>
      </w:r>
      <w:r>
        <w:rPr>
          <w:rFonts w:hint="default" w:ascii="Times New Roman" w:hAnsi="Times New Roman" w:eastAsia="黑体" w:cs="Times New Roman"/>
          <w:sz w:val="32"/>
          <w:szCs w:val="32"/>
        </w:rPr>
        <w:t>政府性基金预算“三公”经费支出表</w:t>
      </w:r>
    </w:p>
    <w:p>
      <w:pPr>
        <w:pStyle w:val="7"/>
        <w:keepNext/>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七、单位</w:t>
      </w:r>
      <w:r>
        <w:rPr>
          <w:rFonts w:hint="default" w:ascii="Times New Roman" w:hAnsi="Times New Roman" w:eastAsia="黑体" w:cs="Times New Roman"/>
          <w:sz w:val="32"/>
          <w:szCs w:val="32"/>
        </w:rPr>
        <w:t>收支总表</w:t>
      </w:r>
    </w:p>
    <w:p>
      <w:pPr>
        <w:pStyle w:val="7"/>
        <w:keepNext/>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八、单位</w:t>
      </w:r>
      <w:r>
        <w:rPr>
          <w:rFonts w:hint="default" w:ascii="Times New Roman" w:hAnsi="Times New Roman" w:eastAsia="黑体" w:cs="Times New Roman"/>
          <w:sz w:val="32"/>
          <w:szCs w:val="32"/>
        </w:rPr>
        <w:t>收入总表</w:t>
      </w:r>
    </w:p>
    <w:p>
      <w:pPr>
        <w:pStyle w:val="7"/>
        <w:keepNext/>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九、单位</w:t>
      </w:r>
      <w:r>
        <w:rPr>
          <w:rFonts w:hint="default" w:ascii="Times New Roman" w:hAnsi="Times New Roman" w:eastAsia="黑体" w:cs="Times New Roman"/>
          <w:sz w:val="32"/>
          <w:szCs w:val="32"/>
        </w:rPr>
        <w:t>支出总表</w:t>
      </w:r>
    </w:p>
    <w:p>
      <w:pPr>
        <w:pStyle w:val="7"/>
        <w:keepNext/>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十、</w:t>
      </w:r>
      <w:r>
        <w:rPr>
          <w:rFonts w:hint="default" w:ascii="Times New Roman" w:hAnsi="Times New Roman" w:eastAsia="黑体" w:cs="Times New Roman"/>
          <w:sz w:val="32"/>
          <w:szCs w:val="32"/>
        </w:rPr>
        <w:t>项目支出绩效信息表</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 xml:space="preserve">第三部分   </w:t>
      </w:r>
      <w:r>
        <w:rPr>
          <w:rFonts w:hint="eastAsia" w:ascii="黑体" w:hAnsi="黑体" w:eastAsia="黑体" w:cs="黑体"/>
          <w:sz w:val="32"/>
          <w:szCs w:val="32"/>
          <w:lang w:eastAsia="zh-CN"/>
        </w:rPr>
        <w:t>三亚市商务局</w:t>
      </w:r>
      <w:r>
        <w:rPr>
          <w:rFonts w:hint="eastAsia" w:ascii="黑体" w:hAnsi="黑体" w:eastAsia="黑体" w:cs="黑体"/>
          <w:sz w:val="32"/>
          <w:szCs w:val="32"/>
          <w:lang w:val="en-US" w:eastAsia="zh-CN"/>
        </w:rPr>
        <w:t>2022</w:t>
      </w:r>
      <w:r>
        <w:rPr>
          <w:rFonts w:hint="eastAsia" w:ascii="黑体" w:hAnsi="黑体" w:eastAsia="黑体" w:cs="黑体"/>
          <w:sz w:val="32"/>
          <w:szCs w:val="32"/>
        </w:rPr>
        <w:t>年单位预算情况说明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center"/>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一、关于</w:t>
      </w:r>
      <w:r>
        <w:rPr>
          <w:rFonts w:hint="eastAsia" w:ascii="黑体" w:hAnsi="黑体" w:eastAsia="黑体" w:cs="黑体"/>
          <w:sz w:val="32"/>
          <w:szCs w:val="32"/>
          <w:lang w:eastAsia="zh-CN"/>
        </w:rPr>
        <w:t>三亚市商务局</w:t>
      </w:r>
      <w:r>
        <w:rPr>
          <w:rFonts w:hint="eastAsia" w:ascii="黑体" w:hAnsi="黑体" w:eastAsia="黑体" w:cs="黑体"/>
          <w:sz w:val="32"/>
          <w:szCs w:val="32"/>
          <w:lang w:val="en-US" w:eastAsia="zh-CN"/>
        </w:rPr>
        <w:t>2022</w:t>
      </w:r>
      <w:r>
        <w:rPr>
          <w:rFonts w:hint="eastAsia" w:ascii="黑体" w:hAnsi="黑体" w:eastAsia="黑体" w:cs="黑体"/>
          <w:sz w:val="32"/>
          <w:szCs w:val="32"/>
        </w:rPr>
        <w:t>年财政拨款收支预算情况的总体说明</w:t>
      </w:r>
    </w:p>
    <w:p>
      <w:pPr>
        <w:keepNext/>
        <w:spacing w:line="560" w:lineRule="exact"/>
        <w:ind w:firstLine="640" w:firstLineChars="200"/>
        <w:jc w:val="left"/>
        <w:rPr>
          <w:rFonts w:ascii="仿宋_GB2312" w:hAnsi="黑体" w:eastAsia="仿宋_GB2312"/>
          <w:sz w:val="32"/>
          <w:szCs w:val="32"/>
          <w:highlight w:val="none"/>
        </w:rPr>
      </w:pPr>
      <w:r>
        <w:rPr>
          <w:rFonts w:hint="eastAsia" w:ascii="仿宋_GB2312" w:hAnsi="黑体" w:eastAsia="仿宋_GB2312"/>
          <w:sz w:val="32"/>
          <w:szCs w:val="32"/>
          <w:lang w:eastAsia="zh-CN"/>
        </w:rPr>
        <w:t>三亚市商务局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6049.98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6049.98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5804.98</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245</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6049.98</w:t>
      </w:r>
      <w:r>
        <w:rPr>
          <w:rFonts w:hint="eastAsia" w:ascii="仿宋_GB2312" w:hAnsi="黑体" w:eastAsia="仿宋_GB2312"/>
          <w:sz w:val="32"/>
          <w:szCs w:val="32"/>
        </w:rPr>
        <w:t>万元</w:t>
      </w:r>
      <w:r>
        <w:rPr>
          <w:rFonts w:hint="eastAsia" w:ascii="仿宋_GB2312" w:hAnsi="仿宋_GB2312" w:eastAsia="仿宋_GB2312" w:cs="仿宋_GB2312"/>
          <w:sz w:val="32"/>
          <w:szCs w:val="32"/>
        </w:rPr>
        <w:t>，包括一般公共服务支出5426.75万元、社会保障和就业支出178.34万</w:t>
      </w:r>
      <w:r>
        <w:rPr>
          <w:rFonts w:hint="default" w:ascii="Times New Roman" w:hAnsi="Times New Roman" w:eastAsia="仿宋_GB2312" w:cs="Times New Roman"/>
          <w:sz w:val="32"/>
          <w:szCs w:val="32"/>
        </w:rPr>
        <w:t>元</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卫生健康支出145.24</w:t>
      </w:r>
      <w:r>
        <w:rPr>
          <w:rFonts w:hint="eastAsia" w:ascii="仿宋_GB2312" w:hAnsi="黑体" w:eastAsia="仿宋_GB2312"/>
          <w:sz w:val="32"/>
          <w:szCs w:val="32"/>
          <w:lang w:eastAsia="zh-CN"/>
        </w:rPr>
        <w:t>万元、 农林水支出</w:t>
      </w:r>
      <w:r>
        <w:rPr>
          <w:rFonts w:hint="eastAsia" w:ascii="仿宋_GB2312" w:hAnsi="黑体" w:eastAsia="仿宋_GB2312"/>
          <w:sz w:val="32"/>
          <w:szCs w:val="32"/>
          <w:lang w:val="en-US" w:eastAsia="zh-CN"/>
        </w:rPr>
        <w:t>245万元、 住房保障支出54.65万元、</w:t>
      </w:r>
      <w:r>
        <w:rPr>
          <w:rFonts w:hint="eastAsia" w:ascii="仿宋_GB2312" w:hAnsi="黑体" w:eastAsia="仿宋_GB2312"/>
          <w:sz w:val="32"/>
          <w:szCs w:val="32"/>
        </w:rPr>
        <w:t>政府性基金预算本年收入</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外交支出</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国防支出</w:t>
      </w:r>
      <w:r>
        <w:rPr>
          <w:rFonts w:hint="eastAsia" w:ascii="仿宋_GB2312" w:hAnsi="黑体" w:eastAsia="仿宋_GB2312"/>
          <w:sz w:val="32"/>
          <w:szCs w:val="32"/>
          <w:lang w:val="en-US" w:eastAsia="zh-CN"/>
        </w:rPr>
        <w:t>0万元、</w:t>
      </w:r>
      <w:r>
        <w:rPr>
          <w:rFonts w:hint="eastAsia" w:ascii="仿宋_GB2312" w:hAnsi="黑体" w:eastAsia="仿宋_GB2312"/>
          <w:sz w:val="32"/>
          <w:szCs w:val="32"/>
        </w:rPr>
        <w:t>结转下年</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highlight w:val="none"/>
        </w:rPr>
        <w:t>。</w:t>
      </w:r>
      <w:r>
        <w:commentReference w:id="0"/>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三亚市商务局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楷体" w:hAnsi="楷体" w:eastAsia="楷体"/>
          <w:sz w:val="32"/>
          <w:szCs w:val="32"/>
        </w:rPr>
      </w:pPr>
      <w:r>
        <w:rPr>
          <w:rFonts w:hint="eastAsia" w:ascii="楷体" w:hAnsi="楷体" w:eastAsia="楷体"/>
          <w:sz w:val="32"/>
          <w:szCs w:val="32"/>
        </w:rPr>
        <w:t>（一）一般公共预算当年规模变化情况</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三亚市商务局</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6049.98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增加2979.97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口岸管理、服务贸易、商务流通和会展业发展等项目资金增加。</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楷体" w:hAnsi="楷体" w:eastAsia="楷体"/>
          <w:sz w:val="32"/>
          <w:szCs w:val="32"/>
        </w:rPr>
      </w:pPr>
      <w:r>
        <w:rPr>
          <w:rFonts w:hint="eastAsia" w:ascii="楷体" w:hAnsi="楷体" w:eastAsia="楷体"/>
          <w:sz w:val="32"/>
          <w:szCs w:val="32"/>
        </w:rPr>
        <w:t>（二）一般公共预算当年拨款结构情况</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一般公共服务（类）支出5426.75万元，占</w:t>
      </w:r>
      <w:r>
        <w:rPr>
          <w:rFonts w:hint="eastAsia" w:ascii="仿宋_GB2312" w:hAnsi="仿宋_GB2312" w:eastAsia="仿宋_GB2312" w:cs="仿宋_GB2312"/>
          <w:sz w:val="32"/>
          <w:szCs w:val="32"/>
          <w:lang w:val="en-US" w:eastAsia="zh-CN"/>
        </w:rPr>
        <w:t>89.70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社会保障和就业（类）支出178.34</w:t>
      </w:r>
      <w:r>
        <w:rPr>
          <w:rFonts w:hint="eastAsia" w:ascii="仿宋_GB2312" w:hAnsi="仿宋_GB2312" w:eastAsia="仿宋_GB2312" w:cs="仿宋_GB2312"/>
          <w:sz w:val="32"/>
          <w:szCs w:val="32"/>
          <w:lang w:eastAsia="zh-CN"/>
        </w:rPr>
        <w:t>万元，占</w:t>
      </w:r>
      <w:r>
        <w:rPr>
          <w:rFonts w:hint="eastAsia" w:ascii="仿宋_GB2312" w:hAnsi="仿宋_GB2312" w:eastAsia="仿宋_GB2312" w:cs="仿宋_GB2312"/>
          <w:sz w:val="32"/>
          <w:szCs w:val="32"/>
          <w:lang w:val="en-US" w:eastAsia="zh-CN"/>
        </w:rPr>
        <w:t>2.95%；卫生健康（类）支出145.24万元，占2.40%；农林水（类）支出245万元，占4.05%；住房保障（类）支出54.65万元，占0.90%。</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楷体" w:hAnsi="楷体" w:eastAsia="楷体"/>
          <w:sz w:val="32"/>
          <w:szCs w:val="32"/>
        </w:rPr>
      </w:pPr>
      <w:r>
        <w:rPr>
          <w:rFonts w:hint="eastAsia" w:ascii="楷体" w:hAnsi="楷体" w:eastAsia="楷体"/>
          <w:sz w:val="32"/>
          <w:szCs w:val="32"/>
        </w:rPr>
        <w:t>（三）一般公共预算当年拨款具体使用情况</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一般公共服务（类）政府办公厅（室）及相关机构事务（款）一般行政管理事务（项）</w:t>
      </w:r>
      <w:r>
        <w:rPr>
          <w:rFonts w:hint="default" w:ascii="仿宋_GB2312" w:hAnsi="黑体" w:eastAsia="仿宋_GB2312" w:cs="仿宋_GB2312"/>
          <w:sz w:val="32"/>
          <w:szCs w:val="32"/>
          <w:lang w:val="e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rPr>
        <w:t>200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160.2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项目预算增加。</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w:t>
      </w:r>
      <w:r>
        <w:rPr>
          <w:rFonts w:hint="eastAsia" w:ascii="仿宋_GB2312" w:hAnsi="黑体" w:eastAsia="仿宋_GB2312" w:cs="仿宋_GB2312"/>
          <w:sz w:val="32"/>
          <w:szCs w:val="32"/>
        </w:rPr>
        <w:t>一般公共服务（类）海关事务（款）口岸管理（项）</w:t>
      </w:r>
      <w:r>
        <w:rPr>
          <w:rFonts w:hint="default" w:ascii="仿宋_GB2312" w:hAnsi="黑体" w:eastAsia="仿宋_GB2312" w:cs="仿宋_GB2312"/>
          <w:sz w:val="32"/>
          <w:szCs w:val="32"/>
          <w:lang w:val="e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rPr>
        <w:t>1905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531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海关监管等经费增加。</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一般公共服务（类）商贸事务（款）行政运行（项）</w:t>
      </w:r>
      <w:r>
        <w:rPr>
          <w:rFonts w:hint="default" w:ascii="仿宋_GB2312" w:hAnsi="黑体" w:eastAsia="仿宋_GB2312" w:cs="仿宋_GB2312"/>
          <w:sz w:val="32"/>
          <w:szCs w:val="32"/>
          <w:lang w:val="e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rPr>
        <w:t>696.55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8.94</w:t>
      </w:r>
      <w:r>
        <w:rPr>
          <w:rFonts w:hint="eastAsia" w:ascii="仿宋_GB2312" w:hAnsi="黑体" w:eastAsia="仿宋_GB2312"/>
          <w:sz w:val="32"/>
          <w:szCs w:val="32"/>
        </w:rPr>
        <w:t>万元，</w:t>
      </w:r>
      <w:r>
        <w:rPr>
          <w:rFonts w:hint="eastAsia" w:ascii="仿宋_GB2312" w:hAnsi="黑体" w:eastAsia="仿宋_GB2312"/>
          <w:sz w:val="32"/>
          <w:szCs w:val="32"/>
          <w:lang w:eastAsia="zh-CN"/>
        </w:rPr>
        <w:t>基本与去年持平。</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一般公共服务（类）商贸事务（款）一般行政管理事务（项）</w:t>
      </w:r>
      <w:r>
        <w:rPr>
          <w:rFonts w:hint="default" w:ascii="仿宋_GB2312" w:hAnsi="黑体" w:eastAsia="仿宋_GB2312" w:cs="仿宋_GB2312"/>
          <w:sz w:val="32"/>
          <w:szCs w:val="32"/>
          <w:lang w:val="e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rPr>
        <w:t>2125.2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增加1473.2</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主要是会展业发展、服务贸易等项目经费增加。</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rPr>
        <w:t>一般公共服务（类）商贸事务（款）国内贸易管理（项）</w:t>
      </w:r>
      <w:r>
        <w:rPr>
          <w:rFonts w:hint="default" w:ascii="仿宋_GB2312" w:hAnsi="黑体" w:eastAsia="仿宋_GB2312" w:cs="仿宋_GB2312"/>
          <w:sz w:val="32"/>
          <w:szCs w:val="32"/>
          <w:lang w:val="en"/>
        </w:rPr>
        <w:t>2022年</w:t>
      </w:r>
      <w:r>
        <w:rPr>
          <w:rFonts w:hint="eastAsia" w:ascii="仿宋_GB2312" w:hAnsi="黑体" w:eastAsia="仿宋_GB2312"/>
          <w:sz w:val="32"/>
          <w:szCs w:val="32"/>
        </w:rPr>
        <w:t>预算数为</w:t>
      </w:r>
      <w:r>
        <w:rPr>
          <w:rFonts w:hint="eastAsia" w:ascii="仿宋_GB2312" w:hAnsi="黑体" w:eastAsia="仿宋_GB2312" w:cs="仿宋_GB2312"/>
          <w:b w:val="0"/>
          <w:bCs w:val="0"/>
          <w:sz w:val="32"/>
          <w:szCs w:val="32"/>
          <w:lang w:val="en-US" w:eastAsia="zh-CN"/>
        </w:rPr>
        <w:t>500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500</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主要是省级下拨经费增加。</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lang w:val="en-US" w:eastAsia="zh-CN"/>
        </w:rPr>
        <w:t>社会保障和就业支出（类）行政事业单位养老支出（款）行政单位离退休（项）2022年预算数为80.5万元，比上年预算数增加15.82万元，主要是离退休人员工资标准提高。</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7.</w:t>
      </w:r>
      <w:r>
        <w:rPr>
          <w:rFonts w:hint="eastAsia" w:ascii="仿宋_GB2312" w:hAnsi="黑体" w:eastAsia="仿宋_GB2312" w:cs="仿宋_GB2312"/>
          <w:sz w:val="32"/>
          <w:szCs w:val="32"/>
          <w:lang w:val="en-US" w:eastAsia="zh-CN"/>
        </w:rPr>
        <w:t>社会保障和就业支出（类）行政事业单位养老支出（款）机关事业单位基本养老保险缴费支出（项）2022年预算数为65.32万元，比上年预算数增加6.8万元，主要是离退休人员工资标准提高。</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8.</w:t>
      </w:r>
      <w:r>
        <w:rPr>
          <w:rFonts w:hint="eastAsia" w:ascii="仿宋_GB2312" w:hAnsi="黑体" w:eastAsia="仿宋_GB2312" w:cs="仿宋_GB2312"/>
          <w:sz w:val="32"/>
          <w:szCs w:val="32"/>
          <w:lang w:val="en-US" w:eastAsia="zh-CN"/>
        </w:rPr>
        <w:t>社会保障和就业支出（类）行政事业单位养老支出（款）机关事业单位职业年金缴费支出（项）2022年预算数为24万元，比上年预算数增加24万元，主要是今年我局2名同志退休，缴纳职业年金。</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9.社会保障和就业支出（类）抚恤（款）其他优抚支出（项）2022年预算数为8.53万元，与上年持平。</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10.</w:t>
      </w:r>
      <w:r>
        <w:rPr>
          <w:rFonts w:hint="default" w:ascii="仿宋_GB2312" w:hAnsi="黑体" w:eastAsia="仿宋_GB2312" w:cs="仿宋_GB2312"/>
          <w:sz w:val="32"/>
          <w:szCs w:val="32"/>
          <w:lang w:val="en-US" w:eastAsia="zh-CN"/>
        </w:rPr>
        <w:t>卫生健康支出（类）行政事业单位医疗（款）行政单位医疗（项）20</w:t>
      </w:r>
      <w:r>
        <w:rPr>
          <w:rFonts w:hint="eastAsia" w:ascii="仿宋_GB2312" w:hAnsi="黑体" w:eastAsia="仿宋_GB2312" w:cs="仿宋_GB2312"/>
          <w:sz w:val="32"/>
          <w:szCs w:val="32"/>
          <w:lang w:val="en-US" w:eastAsia="zh-CN"/>
        </w:rPr>
        <w:t>22</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34.7</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增加3.61</w:t>
      </w:r>
      <w:r>
        <w:rPr>
          <w:rFonts w:hint="default" w:ascii="仿宋_GB2312" w:hAnsi="黑体" w:eastAsia="仿宋_GB2312" w:cs="仿宋_GB2312"/>
          <w:sz w:val="32"/>
          <w:szCs w:val="32"/>
          <w:lang w:val="en-US" w:eastAsia="zh-CN"/>
        </w:rPr>
        <w:t>万元，主要是人员</w:t>
      </w:r>
      <w:r>
        <w:rPr>
          <w:rFonts w:hint="eastAsia" w:ascii="仿宋_GB2312" w:hAnsi="黑体" w:eastAsia="仿宋_GB2312" w:cs="仿宋_GB2312"/>
          <w:sz w:val="32"/>
          <w:szCs w:val="32"/>
          <w:lang w:val="en-US" w:eastAsia="zh-CN"/>
        </w:rPr>
        <w:t>增加</w:t>
      </w:r>
      <w:r>
        <w:rPr>
          <w:rFonts w:hint="default" w:ascii="仿宋_GB2312" w:hAnsi="黑体" w:eastAsia="仿宋_GB2312" w:cs="仿宋_GB2312"/>
          <w:sz w:val="32"/>
          <w:szCs w:val="32"/>
          <w:lang w:val="en-US" w:eastAsia="zh-CN"/>
        </w:rPr>
        <w:t>。</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11.</w:t>
      </w:r>
      <w:r>
        <w:rPr>
          <w:rFonts w:hint="default" w:ascii="仿宋_GB2312" w:hAnsi="黑体" w:eastAsia="仿宋_GB2312" w:cs="仿宋_GB2312"/>
          <w:sz w:val="32"/>
          <w:szCs w:val="32"/>
          <w:lang w:val="en-US" w:eastAsia="zh-CN"/>
        </w:rPr>
        <w:t>卫生健康支出（类）行政事业单位医疗（款）公务员医疗补助（项）20</w:t>
      </w:r>
      <w:r>
        <w:rPr>
          <w:rFonts w:hint="eastAsia" w:ascii="仿宋_GB2312" w:hAnsi="黑体" w:eastAsia="仿宋_GB2312" w:cs="仿宋_GB2312"/>
          <w:sz w:val="32"/>
          <w:szCs w:val="32"/>
          <w:lang w:val="en-US" w:eastAsia="zh-CN"/>
        </w:rPr>
        <w:t>22</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110.54</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增加27.49</w:t>
      </w:r>
      <w:r>
        <w:rPr>
          <w:rFonts w:hint="default" w:ascii="仿宋_GB2312" w:hAnsi="黑体" w:eastAsia="仿宋_GB2312" w:cs="仿宋_GB2312"/>
          <w:sz w:val="32"/>
          <w:szCs w:val="32"/>
          <w:lang w:val="en-US" w:eastAsia="zh-CN"/>
        </w:rPr>
        <w:t>万元，主要是人员</w:t>
      </w:r>
      <w:r>
        <w:rPr>
          <w:rFonts w:hint="eastAsia" w:ascii="仿宋_GB2312" w:hAnsi="黑体" w:eastAsia="仿宋_GB2312" w:cs="仿宋_GB2312"/>
          <w:sz w:val="32"/>
          <w:szCs w:val="32"/>
          <w:lang w:val="en-US" w:eastAsia="zh-CN"/>
        </w:rPr>
        <w:t>增加。</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12.</w:t>
      </w:r>
      <w:r>
        <w:rPr>
          <w:rFonts w:hint="default" w:ascii="仿宋_GB2312" w:hAnsi="黑体" w:eastAsia="仿宋_GB2312" w:cs="仿宋_GB2312"/>
          <w:sz w:val="32"/>
          <w:szCs w:val="32"/>
          <w:lang w:val="en-US" w:eastAsia="zh-CN"/>
        </w:rPr>
        <w:t>农林水支出（类）其他农林水支出（款）其他农林水支出（项）20</w:t>
      </w:r>
      <w:r>
        <w:rPr>
          <w:rFonts w:hint="eastAsia" w:ascii="仿宋_GB2312" w:hAnsi="黑体" w:eastAsia="仿宋_GB2312" w:cs="仿宋_GB2312"/>
          <w:sz w:val="32"/>
          <w:szCs w:val="32"/>
          <w:lang w:val="en-US" w:eastAsia="zh-CN"/>
        </w:rPr>
        <w:t>22</w:t>
      </w:r>
      <w:r>
        <w:rPr>
          <w:rFonts w:hint="default" w:ascii="仿宋_GB2312" w:hAnsi="黑体" w:eastAsia="仿宋_GB2312" w:cs="仿宋_GB2312"/>
          <w:sz w:val="32"/>
          <w:szCs w:val="32"/>
          <w:lang w:val="en-US" w:eastAsia="zh-CN"/>
        </w:rPr>
        <w:t>年预算数为</w:t>
      </w:r>
      <w:r>
        <w:rPr>
          <w:rFonts w:hint="eastAsia" w:ascii="仿宋_GB2312" w:hAnsi="黑体" w:eastAsia="仿宋_GB2312" w:cs="仿宋_GB2312"/>
          <w:sz w:val="32"/>
          <w:szCs w:val="32"/>
          <w:lang w:val="en-US" w:eastAsia="zh-CN"/>
        </w:rPr>
        <w:t>245</w:t>
      </w:r>
      <w:r>
        <w:rPr>
          <w:rFonts w:hint="default" w:ascii="仿宋_GB2312" w:hAnsi="黑体" w:eastAsia="仿宋_GB2312" w:cs="仿宋_GB2312"/>
          <w:sz w:val="32"/>
          <w:szCs w:val="32"/>
          <w:lang w:val="en-US" w:eastAsia="zh-CN"/>
        </w:rPr>
        <w:t>万元，比上年预算数</w:t>
      </w:r>
      <w:r>
        <w:rPr>
          <w:rFonts w:hint="eastAsia" w:ascii="仿宋_GB2312" w:hAnsi="黑体" w:eastAsia="仿宋_GB2312" w:cs="仿宋_GB2312"/>
          <w:sz w:val="32"/>
          <w:szCs w:val="32"/>
          <w:lang w:val="en-US" w:eastAsia="zh-CN"/>
        </w:rPr>
        <w:t>增加245</w:t>
      </w:r>
      <w:r>
        <w:rPr>
          <w:rFonts w:hint="default" w:ascii="仿宋_GB2312" w:hAnsi="黑体" w:eastAsia="仿宋_GB2312" w:cs="仿宋_GB2312"/>
          <w:sz w:val="32"/>
          <w:szCs w:val="32"/>
          <w:lang w:val="en-US" w:eastAsia="zh-CN"/>
        </w:rPr>
        <w:t>万元，主要是</w:t>
      </w:r>
      <w:r>
        <w:rPr>
          <w:rFonts w:hint="eastAsia" w:ascii="仿宋_GB2312" w:hAnsi="黑体" w:eastAsia="仿宋_GB2312" w:cs="仿宋_GB2312"/>
          <w:sz w:val="32"/>
          <w:szCs w:val="32"/>
          <w:lang w:val="en-US" w:eastAsia="zh-CN"/>
        </w:rPr>
        <w:t>全市安装电子秤经费，该笔经费由市发改委使用。</w:t>
      </w:r>
    </w:p>
    <w:p>
      <w:pPr>
        <w:keepNext/>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13.住房保障支出（类）住房改革支出（款）住房公积金（项）2022年预算数为54.65万元，比上年预算数增加1.79万元，主要是人员增加。</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hAnsi="黑体" w:eastAsia="黑体"/>
          <w:sz w:val="32"/>
          <w:szCs w:val="32"/>
        </w:rPr>
      </w:pPr>
      <w:r>
        <w:rPr>
          <w:rFonts w:hint="eastAsia" w:ascii="黑体" w:hAnsi="黑体" w:eastAsia="黑体" w:cs="黑体"/>
          <w:sz w:val="32"/>
          <w:szCs w:val="32"/>
        </w:rPr>
        <w:t>三、关于</w:t>
      </w:r>
      <w:r>
        <w:rPr>
          <w:rFonts w:hint="eastAsia" w:ascii="黑体" w:hAnsi="黑体" w:eastAsia="黑体" w:cs="黑体"/>
          <w:sz w:val="32"/>
          <w:szCs w:val="32"/>
          <w:lang w:val="en"/>
        </w:rPr>
        <w:t>三亚市商务局2022年</w:t>
      </w:r>
      <w:r>
        <w:rPr>
          <w:rFonts w:hint="eastAsia" w:ascii="黑体" w:hAnsi="黑体" w:eastAsia="黑体" w:cs="黑体"/>
          <w:sz w:val="32"/>
          <w:szCs w:val="32"/>
        </w:rPr>
        <w:t>一般公共</w:t>
      </w:r>
      <w:r>
        <w:rPr>
          <w:rFonts w:hint="eastAsia" w:ascii="黑体" w:hAnsi="黑体" w:eastAsia="黑体"/>
          <w:sz w:val="32"/>
          <w:szCs w:val="32"/>
        </w:rPr>
        <w:t>预算基本支出情况说明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rPr>
      </w:pPr>
      <w:r>
        <w:rPr>
          <w:rFonts w:hint="default" w:ascii="仿宋_GB2312" w:hAnsi="黑体" w:eastAsia="仿宋_GB2312"/>
          <w:sz w:val="32"/>
          <w:szCs w:val="32"/>
          <w:lang w:val="en"/>
        </w:rPr>
        <w:t>三亚市商务局</w:t>
      </w:r>
      <w:r>
        <w:rPr>
          <w:rFonts w:hint="default" w:ascii="仿宋_GB2312" w:hAnsi="黑体" w:eastAsia="仿宋_GB2312" w:cs="仿宋_GB2312"/>
          <w:sz w:val="32"/>
          <w:szCs w:val="32"/>
          <w:lang w:val="en"/>
        </w:rPr>
        <w:t>2022年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rPr>
        <w:t>1074.78</w:t>
      </w:r>
      <w:r>
        <w:rPr>
          <w:rFonts w:hint="eastAsia" w:ascii="仿宋_GB2312" w:hAnsi="黑体" w:eastAsia="仿宋_GB2312"/>
          <w:sz w:val="32"/>
          <w:szCs w:val="32"/>
        </w:rPr>
        <w:t>万元，其中：</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1011.46</w:t>
      </w:r>
      <w:r>
        <w:rPr>
          <w:rFonts w:hint="eastAsia" w:ascii="仿宋_GB2312" w:hAnsi="黑体" w:eastAsia="仿宋_GB2312"/>
          <w:sz w:val="32"/>
          <w:szCs w:val="32"/>
        </w:rPr>
        <w:t>万元，主要包括：基本工资、津贴补贴、奖金、绩效工资</w:t>
      </w:r>
      <w:r>
        <w:rPr>
          <w:rFonts w:hint="eastAsia" w:ascii="仿宋_GB2312" w:hAnsi="黑体" w:eastAsia="仿宋_GB2312"/>
          <w:sz w:val="32"/>
          <w:szCs w:val="32"/>
          <w:lang w:eastAsia="zh-CN"/>
        </w:rPr>
        <w:t>、机关事业单位基本养老保险缴费、职业年金缴费、职工基本医疗保险缴费、公务员医疗补助缴费、其他社会保障缴费、住房公积金、医疗费、其他工资福利支出、邮电费、其他交通费用、离休费。</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63.32</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、会议费、培训费、工会经费、福利费、其他商品和服务支出</w:t>
      </w:r>
      <w:r>
        <w:rPr>
          <w:rFonts w:hint="eastAsia" w:ascii="仿宋_GB2312" w:hAnsi="黑体" w:eastAsia="仿宋_GB2312"/>
          <w:sz w:val="32"/>
          <w:szCs w:val="32"/>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hAnsi="黑体" w:eastAsia="黑体" w:cs="Times New Roman"/>
          <w:sz w:val="32"/>
          <w:shd w:val="clear" w:color="auto" w:fill="FFFFFF"/>
        </w:rPr>
      </w:pPr>
      <w:r>
        <w:rPr>
          <w:rFonts w:hint="eastAsia" w:ascii="黑体" w:hAnsi="黑体" w:eastAsia="黑体" w:cs="黑体"/>
          <w:sz w:val="32"/>
          <w:shd w:val="clear" w:color="auto" w:fill="FFFFFF"/>
        </w:rPr>
        <w:t>四、</w:t>
      </w:r>
      <w:r>
        <w:rPr>
          <w:rFonts w:hint="eastAsia" w:ascii="黑体" w:hAnsi="黑体" w:eastAsia="黑体" w:cs="黑体"/>
          <w:sz w:val="32"/>
          <w:szCs w:val="32"/>
          <w:lang w:val="en"/>
        </w:rPr>
        <w:t>三亚市商务局2022年</w:t>
      </w:r>
      <w:r>
        <w:rPr>
          <w:rFonts w:hint="eastAsia" w:ascii="黑体" w:hAnsi="黑体" w:eastAsia="黑体" w:cs="黑体"/>
          <w:sz w:val="32"/>
          <w:shd w:val="clear" w:color="auto" w:fill="FFFFFF"/>
        </w:rPr>
        <w:t>“三公”经</w:t>
      </w:r>
      <w:r>
        <w:rPr>
          <w:rFonts w:ascii="黑体" w:hAnsi="黑体" w:eastAsia="黑体" w:cs="Times New Roman"/>
          <w:sz w:val="32"/>
          <w:shd w:val="clear" w:color="auto" w:fill="FFFFFF"/>
        </w:rPr>
        <w:t>费预算情况</w:t>
      </w:r>
      <w:r>
        <w:rPr>
          <w:rFonts w:hint="eastAsia" w:ascii="黑体" w:hAnsi="黑体" w:eastAsia="黑体" w:cs="Times New Roman"/>
          <w:sz w:val="32"/>
          <w:shd w:val="clear" w:color="auto" w:fill="FFFFFF"/>
        </w:rPr>
        <w:t>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cs="Times New Roman"/>
          <w:sz w:val="32"/>
          <w:szCs w:val="32"/>
        </w:rPr>
      </w:pPr>
      <w:r>
        <w:rPr>
          <w:rFonts w:hint="eastAsia" w:ascii="楷体" w:hAnsi="楷体" w:eastAsia="楷体" w:cs="楷体"/>
          <w:sz w:val="32"/>
          <w:szCs w:val="32"/>
        </w:rPr>
        <w:t>（一）</w:t>
      </w:r>
      <w:r>
        <w:rPr>
          <w:rFonts w:hint="default" w:ascii="仿宋_GB2312" w:hAnsi="黑体" w:eastAsia="仿宋_GB2312"/>
          <w:sz w:val="32"/>
          <w:szCs w:val="32"/>
          <w:lang w:val="en"/>
        </w:rPr>
        <w:t>三亚市商务局</w:t>
      </w:r>
      <w:r>
        <w:rPr>
          <w:rFonts w:hint="default" w:ascii="仿宋_GB2312" w:hAnsi="黑体" w:eastAsia="仿宋_GB2312" w:cs="仿宋_GB2312"/>
          <w:sz w:val="32"/>
          <w:szCs w:val="32"/>
          <w:lang w:val="en"/>
        </w:rPr>
        <w:t>2022年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rPr>
        <w:t>3.94</w:t>
      </w:r>
      <w:r>
        <w:rPr>
          <w:rFonts w:hint="eastAsia" w:ascii="仿宋_GB2312" w:hAnsi="黑体" w:eastAsia="仿宋_GB2312"/>
          <w:sz w:val="32"/>
          <w:szCs w:val="32"/>
        </w:rPr>
        <w:t>万元，其中：</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2.13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150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sz w:val="32"/>
          <w:shd w:val="clear" w:color="auto" w:fill="FFFFFF"/>
          <w:lang w:eastAsia="zh-CN"/>
        </w:rPr>
      </w:pPr>
      <w:r>
        <w:rPr>
          <w:rFonts w:hint="eastAsia" w:ascii="楷体" w:hAnsi="楷体" w:eastAsia="楷体" w:cs="楷体"/>
          <w:sz w:val="32"/>
          <w:szCs w:val="32"/>
        </w:rPr>
        <w:t>（二）</w:t>
      </w:r>
      <w:r>
        <w:rPr>
          <w:rFonts w:hint="default" w:ascii="仿宋_GB2312" w:hAnsi="黑体" w:eastAsia="仿宋_GB2312"/>
          <w:sz w:val="32"/>
          <w:szCs w:val="32"/>
          <w:lang w:val="en"/>
        </w:rPr>
        <w:t>三亚市商务局</w:t>
      </w:r>
      <w:r>
        <w:rPr>
          <w:rFonts w:hint="default" w:ascii="仿宋_GB2312" w:hAnsi="黑体" w:eastAsia="仿宋_GB2312" w:cs="仿宋_GB2312"/>
          <w:sz w:val="32"/>
          <w:szCs w:val="32"/>
          <w:lang w:val="en"/>
        </w:rPr>
        <w:t>2022年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，与上年预算持平。</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sz w:val="32"/>
          <w:shd w:val="clear" w:color="auto" w:fill="FFFFFF"/>
        </w:rPr>
      </w:pPr>
      <w:r>
        <w:rPr>
          <w:rFonts w:hint="eastAsia" w:ascii="黑体" w:hAnsi="黑体" w:eastAsia="黑体" w:cs="黑体"/>
          <w:sz w:val="32"/>
          <w:shd w:val="clear" w:color="auto" w:fill="FFFFFF"/>
        </w:rPr>
        <w:t>五、关于</w:t>
      </w:r>
      <w:r>
        <w:rPr>
          <w:rFonts w:hint="eastAsia" w:ascii="黑体" w:hAnsi="黑体" w:eastAsia="黑体" w:cs="黑体"/>
          <w:sz w:val="32"/>
          <w:szCs w:val="32"/>
          <w:lang w:val="en"/>
        </w:rPr>
        <w:t>三亚市商务局2022年</w:t>
      </w:r>
      <w:r>
        <w:rPr>
          <w:rFonts w:hint="eastAsia" w:ascii="黑体" w:hAnsi="黑体" w:eastAsia="黑体" w:cs="黑体"/>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三亚市商务局单位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sz w:val="32"/>
          <w:shd w:val="clear" w:color="auto" w:fill="FFFFFF"/>
        </w:rPr>
      </w:pPr>
      <w:r>
        <w:rPr>
          <w:rFonts w:hint="eastAsia" w:ascii="黑体" w:hAnsi="黑体" w:eastAsia="黑体" w:cs="黑体"/>
          <w:sz w:val="32"/>
          <w:shd w:val="clear" w:color="auto" w:fill="FFFFFF"/>
        </w:rPr>
        <w:t>六、关于</w:t>
      </w:r>
      <w:r>
        <w:rPr>
          <w:rFonts w:hint="eastAsia" w:ascii="黑体" w:hAnsi="黑体" w:eastAsia="黑体" w:cs="黑体"/>
          <w:sz w:val="32"/>
          <w:szCs w:val="32"/>
          <w:lang w:val="en"/>
        </w:rPr>
        <w:t>三亚市商务局2022年</w:t>
      </w:r>
      <w:r>
        <w:rPr>
          <w:rFonts w:hint="eastAsia" w:ascii="黑体" w:hAnsi="黑体" w:eastAsia="黑体" w:cs="黑体"/>
          <w:sz w:val="32"/>
          <w:shd w:val="clear" w:color="auto" w:fill="FFFFFF"/>
        </w:rPr>
        <w:t>收支预算情况的总体说明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按照综合预算原则，</w:t>
      </w:r>
      <w:r>
        <w:rPr>
          <w:rFonts w:hint="default" w:ascii="仿宋_GB2312" w:hAnsi="黑体" w:eastAsia="仿宋_GB2312" w:cs="仿宋_GB2312"/>
          <w:sz w:val="32"/>
          <w:szCs w:val="32"/>
          <w:lang w:val="en"/>
        </w:rPr>
        <w:t>三亚市商务局</w:t>
      </w:r>
      <w:r>
        <w:rPr>
          <w:rFonts w:hint="eastAsia" w:ascii="仿宋_GB2312" w:hAnsi="黑体" w:eastAsia="仿宋_GB2312" w:cs="仿宋_GB2312"/>
          <w:sz w:val="32"/>
          <w:szCs w:val="32"/>
        </w:rPr>
        <w:t>所有收入和支出均纳入部门预算管理。</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sz w:val="32"/>
          <w:szCs w:val="32"/>
        </w:rPr>
      </w:pPr>
      <w:r>
        <w:rPr>
          <w:rFonts w:hint="eastAsia" w:ascii="仿宋_GB2312" w:hAnsi="黑体" w:eastAsia="仿宋_GB2312" w:cs="仿宋_GB2312"/>
          <w:sz w:val="32"/>
          <w:szCs w:val="32"/>
        </w:rPr>
        <w:t>收入包括：一般公共预算收入</w:t>
      </w:r>
      <w:r>
        <w:rPr>
          <w:rFonts w:hint="eastAsia" w:ascii="仿宋_GB2312" w:hAnsi="黑体" w:eastAsia="仿宋_GB2312"/>
          <w:sz w:val="32"/>
          <w:szCs w:val="32"/>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sz w:val="32"/>
          <w:szCs w:val="32"/>
        </w:rPr>
      </w:pPr>
      <w:r>
        <w:rPr>
          <w:rFonts w:hint="eastAsia" w:ascii="仿宋_GB2312" w:hAnsi="黑体" w:eastAsia="仿宋_GB2312"/>
          <w:sz w:val="32"/>
          <w:szCs w:val="32"/>
        </w:rPr>
        <w:t>支出包括：一般公共服务支出、社会保障和就业支出、卫生健康支出、农林水支出、住房保障支出。</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rPr>
      </w:pPr>
      <w:r>
        <w:rPr>
          <w:rFonts w:hint="default" w:ascii="仿宋_GB2312" w:hAnsi="黑体" w:eastAsia="仿宋_GB2312" w:cs="仿宋_GB2312"/>
          <w:sz w:val="32"/>
          <w:szCs w:val="32"/>
          <w:lang w:val="en"/>
        </w:rPr>
        <w:t>三亚市商务局2022年</w:t>
      </w:r>
      <w:r>
        <w:rPr>
          <w:rFonts w:hint="eastAsia" w:ascii="仿宋_GB2312" w:hAnsi="黑体" w:eastAsia="仿宋_GB2312"/>
          <w:sz w:val="32"/>
          <w:szCs w:val="32"/>
        </w:rPr>
        <w:t>收支总预算</w:t>
      </w:r>
      <w:r>
        <w:rPr>
          <w:rFonts w:hint="eastAsia" w:ascii="仿宋_GB2312" w:hAnsi="黑体" w:eastAsia="仿宋_GB2312" w:cs="仿宋_GB2312"/>
          <w:sz w:val="32"/>
          <w:szCs w:val="32"/>
        </w:rPr>
        <w:t>6049.98</w:t>
      </w:r>
      <w:r>
        <w:rPr>
          <w:rFonts w:hint="eastAsia" w:ascii="仿宋_GB2312" w:hAnsi="黑体" w:eastAsia="仿宋_GB2312"/>
          <w:sz w:val="32"/>
          <w:szCs w:val="32"/>
        </w:rPr>
        <w:t>万元。</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sz w:val="32"/>
          <w:shd w:val="clear" w:color="auto" w:fill="FFFFFF"/>
        </w:rPr>
      </w:pPr>
      <w:r>
        <w:rPr>
          <w:rFonts w:hint="eastAsia" w:ascii="黑体" w:hAnsi="黑体" w:eastAsia="黑体" w:cs="黑体"/>
          <w:sz w:val="32"/>
          <w:shd w:val="clear" w:color="auto" w:fill="FFFFFF"/>
        </w:rPr>
        <w:t>七、关于</w:t>
      </w:r>
      <w:r>
        <w:rPr>
          <w:rFonts w:hint="eastAsia" w:ascii="黑体" w:hAnsi="黑体" w:eastAsia="黑体" w:cs="黑体"/>
          <w:sz w:val="32"/>
          <w:szCs w:val="32"/>
          <w:lang w:val="en"/>
        </w:rPr>
        <w:t>三亚市商务局2022年</w:t>
      </w:r>
      <w:r>
        <w:rPr>
          <w:rFonts w:hint="eastAsia" w:ascii="黑体" w:hAnsi="黑体" w:eastAsia="黑体" w:cs="黑体"/>
          <w:sz w:val="32"/>
          <w:shd w:val="clear" w:color="auto" w:fill="FFFFFF"/>
        </w:rPr>
        <w:t>收入预算情况说明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rPr>
      </w:pPr>
      <w:r>
        <w:rPr>
          <w:rFonts w:hint="default" w:ascii="仿宋_GB2312" w:hAnsi="黑体" w:eastAsia="仿宋_GB2312" w:cs="仿宋_GB2312"/>
          <w:sz w:val="32"/>
          <w:szCs w:val="32"/>
          <w:lang w:val="en"/>
        </w:rPr>
        <w:t>三亚市商务局2022年</w:t>
      </w:r>
      <w:r>
        <w:rPr>
          <w:rFonts w:hint="eastAsia" w:ascii="仿宋_GB2312" w:hAnsi="黑体" w:eastAsia="仿宋_GB2312"/>
          <w:sz w:val="32"/>
          <w:szCs w:val="32"/>
        </w:rPr>
        <w:t>收入预算</w:t>
      </w:r>
      <w:r>
        <w:rPr>
          <w:rFonts w:hint="eastAsia" w:ascii="仿宋_GB2312" w:hAnsi="黑体" w:eastAsia="仿宋_GB2312" w:cs="仿宋_GB2312"/>
          <w:sz w:val="32"/>
          <w:szCs w:val="32"/>
        </w:rPr>
        <w:t>6049.98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245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4.05</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5804.98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95.95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增加2979.97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口岸管理、服务贸易、商务流通和会展业发展等项目资金增加</w:t>
      </w:r>
      <w:r>
        <w:rPr>
          <w:rFonts w:hint="eastAsia" w:ascii="仿宋_GB2312" w:hAnsi="黑体" w:eastAsia="仿宋_GB2312"/>
          <w:sz w:val="32"/>
          <w:szCs w:val="32"/>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sz w:val="32"/>
          <w:shd w:val="clear" w:color="auto" w:fill="FFFFFF"/>
        </w:rPr>
      </w:pPr>
      <w:r>
        <w:rPr>
          <w:rFonts w:hint="eastAsia" w:ascii="黑体" w:hAnsi="黑体" w:eastAsia="黑体" w:cs="黑体"/>
          <w:sz w:val="32"/>
          <w:shd w:val="clear" w:color="auto" w:fill="FFFFFF"/>
        </w:rPr>
        <w:t>八、关于</w:t>
      </w:r>
      <w:r>
        <w:rPr>
          <w:rFonts w:hint="eastAsia" w:ascii="黑体" w:hAnsi="黑体" w:eastAsia="黑体" w:cs="黑体"/>
          <w:sz w:val="32"/>
          <w:szCs w:val="32"/>
          <w:lang w:val="en"/>
        </w:rPr>
        <w:t>三亚市商务局2022年</w:t>
      </w:r>
      <w:r>
        <w:rPr>
          <w:rFonts w:hint="eastAsia" w:ascii="黑体" w:hAnsi="黑体" w:eastAsia="黑体" w:cs="黑体"/>
          <w:sz w:val="32"/>
          <w:shd w:val="clear" w:color="auto" w:fill="FFFFFF"/>
        </w:rPr>
        <w:t>支出预算情况说明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rPr>
      </w:pPr>
      <w:r>
        <w:rPr>
          <w:rFonts w:hint="default" w:ascii="仿宋_GB2312" w:hAnsi="黑体" w:eastAsia="仿宋_GB2312" w:cs="仿宋_GB2312"/>
          <w:sz w:val="32"/>
          <w:szCs w:val="32"/>
          <w:lang w:val="en"/>
        </w:rPr>
        <w:t>三亚市商务局2022年</w:t>
      </w:r>
      <w:r>
        <w:rPr>
          <w:rFonts w:hint="eastAsia" w:ascii="仿宋_GB2312" w:hAnsi="黑体" w:eastAsia="仿宋_GB2312"/>
          <w:sz w:val="32"/>
          <w:szCs w:val="32"/>
        </w:rPr>
        <w:t>支出预算</w:t>
      </w:r>
      <w:r>
        <w:rPr>
          <w:rFonts w:hint="eastAsia" w:ascii="仿宋_GB2312" w:hAnsi="黑体" w:eastAsia="仿宋_GB2312" w:cs="仿宋_GB2312"/>
          <w:sz w:val="32"/>
          <w:szCs w:val="32"/>
        </w:rPr>
        <w:t>6049.98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1074.78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17.77</w:t>
      </w:r>
      <w:r>
        <w:rPr>
          <w:rFonts w:hint="eastAsia" w:ascii="仿宋_GB2312" w:hAnsi="黑体" w:eastAsia="仿宋_GB2312"/>
          <w:sz w:val="32"/>
          <w:szCs w:val="32"/>
        </w:rPr>
        <w:t>%；项目支出</w:t>
      </w:r>
      <w:r>
        <w:rPr>
          <w:rFonts w:hint="eastAsia" w:ascii="仿宋_GB2312" w:hAnsi="黑体" w:eastAsia="仿宋_GB2312" w:cs="仿宋_GB2312"/>
          <w:sz w:val="32"/>
          <w:szCs w:val="32"/>
        </w:rPr>
        <w:t>4975.2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82.23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增加2979.97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口岸管理、服务贸易、商务流通和会展业发展等项目资金增加</w:t>
      </w:r>
      <w:r>
        <w:rPr>
          <w:rFonts w:hint="eastAsia" w:ascii="仿宋_GB2312" w:hAnsi="黑体" w:eastAsia="仿宋_GB2312"/>
          <w:sz w:val="32"/>
          <w:szCs w:val="32"/>
        </w:rPr>
        <w:t>。</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楷体" w:hAnsi="楷体" w:eastAsia="楷体"/>
          <w:sz w:val="32"/>
          <w:szCs w:val="32"/>
        </w:rPr>
      </w:pPr>
      <w:r>
        <w:rPr>
          <w:rFonts w:hint="eastAsia" w:ascii="楷体" w:hAnsi="楷体" w:eastAsia="楷体"/>
          <w:sz w:val="32"/>
          <w:szCs w:val="32"/>
        </w:rPr>
        <w:t>（一）机关运行经费</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rPr>
      </w:pPr>
      <w:r>
        <w:rPr>
          <w:rFonts w:hint="default" w:ascii="仿宋_GB2312" w:hAnsi="黑体" w:eastAsia="仿宋_GB2312" w:cs="仿宋_GB2312"/>
          <w:sz w:val="32"/>
          <w:szCs w:val="32"/>
          <w:lang w:val="en"/>
        </w:rPr>
        <w:t>2022年三亚市商务局</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143.32</w:t>
      </w:r>
      <w:r>
        <w:rPr>
          <w:rFonts w:hint="eastAsia" w:ascii="仿宋_GB2312" w:hAnsi="黑体" w:eastAsia="仿宋_GB2312"/>
          <w:sz w:val="32"/>
          <w:szCs w:val="32"/>
        </w:rPr>
        <w:t>万元。</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楷体" w:hAnsi="楷体" w:eastAsia="楷体"/>
          <w:sz w:val="32"/>
          <w:szCs w:val="32"/>
        </w:rPr>
      </w:pPr>
      <w:r>
        <w:rPr>
          <w:rFonts w:hint="eastAsia" w:ascii="楷体" w:hAnsi="楷体" w:eastAsia="楷体"/>
          <w:sz w:val="32"/>
          <w:szCs w:val="32"/>
        </w:rPr>
        <w:t>（二）政府采购情况</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rPr>
      </w:pPr>
      <w:r>
        <w:rPr>
          <w:rFonts w:hint="default" w:ascii="仿宋_GB2312" w:hAnsi="黑体" w:eastAsia="仿宋_GB2312" w:cs="仿宋_GB2312"/>
          <w:sz w:val="32"/>
          <w:szCs w:val="32"/>
          <w:lang w:val="en"/>
        </w:rPr>
        <w:t>2022年三亚市商务局</w:t>
      </w:r>
      <w:r>
        <w:rPr>
          <w:rFonts w:hint="eastAsia" w:ascii="仿宋_GB2312" w:hAnsi="黑体" w:eastAsia="仿宋_GB2312" w:cs="仿宋_GB2312"/>
          <w:sz w:val="32"/>
          <w:szCs w:val="32"/>
        </w:rPr>
        <w:t>政府采购预算总额3.87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3.87</w:t>
      </w:r>
      <w:r>
        <w:rPr>
          <w:rFonts w:hint="eastAsia" w:ascii="仿宋_GB2312" w:hAnsi="黑体" w:eastAsia="仿宋_GB2312"/>
          <w:sz w:val="32"/>
          <w:szCs w:val="32"/>
        </w:rPr>
        <w:t>万元。</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楷体" w:hAnsi="楷体" w:eastAsia="楷体"/>
          <w:sz w:val="32"/>
          <w:szCs w:val="32"/>
        </w:rPr>
      </w:pPr>
      <w:r>
        <w:rPr>
          <w:rFonts w:hint="eastAsia" w:ascii="楷体" w:hAnsi="楷体" w:eastAsia="楷体"/>
          <w:sz w:val="32"/>
          <w:szCs w:val="32"/>
        </w:rPr>
        <w:t>（三）国有资产占有使用情况</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default" w:ascii="仿宋_GB2312" w:hAnsi="黑体" w:eastAsia="仿宋_GB2312" w:cs="仿宋_GB2312"/>
          <w:sz w:val="32"/>
          <w:szCs w:val="32"/>
          <w:lang w:val="en"/>
        </w:rPr>
        <w:t>202</w:t>
      </w:r>
      <w:r>
        <w:rPr>
          <w:rFonts w:hint="eastAsia" w:ascii="仿宋_GB2312" w:hAnsi="黑体" w:eastAsia="仿宋_GB2312" w:cs="仿宋_GB2312"/>
          <w:sz w:val="32"/>
          <w:szCs w:val="32"/>
          <w:lang w:val="en-US" w:eastAsia="zh-CN"/>
        </w:rPr>
        <w:t>1</w:t>
      </w:r>
      <w:r>
        <w:rPr>
          <w:rFonts w:hint="default" w:ascii="仿宋_GB2312" w:hAnsi="黑体" w:eastAsia="仿宋_GB2312" w:cs="仿宋_GB2312"/>
          <w:sz w:val="32"/>
          <w:szCs w:val="32"/>
          <w:lang w:val="en"/>
        </w:rPr>
        <w:t>年</w:t>
      </w:r>
      <w:r>
        <w:rPr>
          <w:rFonts w:hint="eastAsia" w:ascii="仿宋_GB2312" w:hAnsi="黑体" w:eastAsia="仿宋_GB2312"/>
          <w:sz w:val="32"/>
          <w:szCs w:val="32"/>
        </w:rPr>
        <w:t>12月31日，</w:t>
      </w:r>
      <w:r>
        <w:rPr>
          <w:rFonts w:hint="default" w:ascii="仿宋_GB2312" w:hAnsi="黑体" w:eastAsia="仿宋_GB2312" w:cs="仿宋_GB2312"/>
          <w:sz w:val="32"/>
          <w:szCs w:val="32"/>
          <w:lang w:val="en"/>
        </w:rPr>
        <w:t>三亚市商务局</w:t>
      </w:r>
      <w:r>
        <w:rPr>
          <w:rFonts w:hint="eastAsia" w:ascii="仿宋_GB2312" w:hAnsi="黑体" w:eastAsia="仿宋_GB2312" w:cs="仿宋_GB2312"/>
          <w:sz w:val="32"/>
          <w:szCs w:val="32"/>
        </w:rPr>
        <w:t>本级共有车辆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楷体" w:hAnsi="楷体" w:eastAsia="楷体"/>
          <w:sz w:val="32"/>
          <w:szCs w:val="32"/>
        </w:rPr>
      </w:pPr>
      <w:r>
        <w:rPr>
          <w:rFonts w:hint="eastAsia" w:ascii="楷体" w:hAnsi="楷体" w:eastAsia="楷体"/>
          <w:sz w:val="32"/>
          <w:szCs w:val="32"/>
        </w:rPr>
        <w:t>（四）绩效目标设置情况</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sz w:val="32"/>
          <w:szCs w:val="32"/>
        </w:rPr>
      </w:pPr>
      <w:r>
        <w:rPr>
          <w:rFonts w:hint="default" w:ascii="仿宋_GB2312" w:hAnsi="黑体" w:eastAsia="仿宋_GB2312" w:cs="仿宋_GB2312"/>
          <w:sz w:val="32"/>
          <w:szCs w:val="32"/>
          <w:lang w:val="en"/>
        </w:rPr>
        <w:t>2022年三亚市商务局</w:t>
      </w:r>
      <w:r>
        <w:rPr>
          <w:rFonts w:hint="eastAsia" w:ascii="仿宋_GB2312" w:hAnsi="黑体" w:eastAsia="仿宋_GB2312" w:cs="仿宋_GB2312"/>
          <w:sz w:val="32"/>
          <w:szCs w:val="32"/>
          <w:lang w:val="en-US" w:eastAsia="zh-CN"/>
        </w:rPr>
        <w:t>23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5805</w:t>
      </w:r>
      <w:r>
        <w:rPr>
          <w:rFonts w:hint="eastAsia" w:ascii="仿宋_GB2312" w:hAnsi="黑体" w:eastAsia="仿宋_GB2312"/>
          <w:sz w:val="32"/>
          <w:szCs w:val="32"/>
        </w:rPr>
        <w:t>万元。</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center"/>
        <w:textAlignment w:val="auto"/>
        <w:rPr>
          <w:rFonts w:ascii="黑体" w:hAnsi="黑体" w:eastAsia="黑体"/>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p>
    <w:p>
      <w:pPr>
        <w:keepNext/>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b w:val="0"/>
          <w:bCs/>
          <w:sz w:val="32"/>
          <w:szCs w:val="32"/>
        </w:rPr>
      </w:pPr>
    </w:p>
    <w:p>
      <w:pPr>
        <w:keepNext/>
        <w:keepLines w:val="0"/>
        <w:pageBreakBefore w:val="0"/>
        <w:widowControl w:val="0"/>
        <w:kinsoku/>
        <w:wordWrap/>
        <w:overflowPunct/>
        <w:topLinePunct w:val="0"/>
        <w:autoSpaceDE/>
        <w:autoSpaceDN/>
        <w:bidi w:val="0"/>
        <w:adjustRightInd/>
        <w:snapToGrid/>
        <w:spacing w:line="560" w:lineRule="exact"/>
        <w:jc w:val="center"/>
        <w:textAlignment w:val="auto"/>
        <w:rPr>
          <w:rFonts w:ascii="黑体" w:hAnsi="黑体" w:eastAsia="黑体"/>
          <w:b w:val="0"/>
          <w:bCs/>
          <w:sz w:val="32"/>
          <w:szCs w:val="32"/>
        </w:rPr>
      </w:pPr>
      <w:r>
        <w:rPr>
          <w:rFonts w:hint="eastAsia" w:ascii="黑体" w:hAnsi="黑体" w:eastAsia="黑体"/>
          <w:b w:val="0"/>
          <w:bCs/>
          <w:sz w:val="32"/>
          <w:szCs w:val="32"/>
        </w:rPr>
        <w:t>第四部分  名词解释</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eastAsia="仿宋_GB2312" w:cs="宋体"/>
          <w:bCs/>
          <w:color w:val="000000"/>
          <w:kern w:val="0"/>
          <w:sz w:val="32"/>
          <w:szCs w:val="32"/>
          <w:lang w:val="zh-CN"/>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宋体" w:eastAsia="仿宋_GB2312" w:cs="宋体"/>
          <w:color w:val="000000"/>
          <w:kern w:val="0"/>
          <w:sz w:val="32"/>
          <w:szCs w:val="30"/>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ascii="仿宋_GB2312" w:hAnsi="黑体" w:eastAsia="仿宋_GB2312" w:cs="仿宋_GB2312"/>
          <w:sz w:val="32"/>
          <w:szCs w:val="32"/>
        </w:rPr>
      </w:pP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istrator" w:date="2023-07-07T09:54:23Z" w:initials="A">
    <w:p w14:paraId="7BBA4A0C">
      <w:pPr>
        <w:pStyle w:val="2"/>
        <w:rPr>
          <w:rFonts w:hint="eastAsia" w:eastAsia="宋体"/>
          <w:lang w:eastAsia="zh-CN"/>
        </w:rPr>
      </w:pPr>
      <w:r>
        <w:rPr>
          <w:rFonts w:hint="eastAsia"/>
          <w:lang w:eastAsia="zh-CN"/>
        </w:rPr>
        <w:t>模板中诸如政府性基金等内容需要体现，金额填</w:t>
      </w:r>
      <w:r>
        <w:rPr>
          <w:rFonts w:hint="eastAsia"/>
          <w:lang w:val="en-US" w:eastAsia="zh-CN"/>
        </w:rPr>
        <w:t xml:space="preserve">0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BBA4A0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21BEC"/>
    <w:rsid w:val="0DB2D23C"/>
    <w:rsid w:val="1C267A7C"/>
    <w:rsid w:val="23F35760"/>
    <w:rsid w:val="24CB313A"/>
    <w:rsid w:val="25474F65"/>
    <w:rsid w:val="28B76E13"/>
    <w:rsid w:val="2A7F5634"/>
    <w:rsid w:val="2B75F910"/>
    <w:rsid w:val="2E5361F3"/>
    <w:rsid w:val="33D888A3"/>
    <w:rsid w:val="367D7D0D"/>
    <w:rsid w:val="39110DC6"/>
    <w:rsid w:val="3917C48E"/>
    <w:rsid w:val="3D1E351A"/>
    <w:rsid w:val="3DAE4969"/>
    <w:rsid w:val="3DDA23D5"/>
    <w:rsid w:val="3DEB2C88"/>
    <w:rsid w:val="3EFFF09D"/>
    <w:rsid w:val="3F311A21"/>
    <w:rsid w:val="42047EAB"/>
    <w:rsid w:val="4AA93594"/>
    <w:rsid w:val="4ECE3352"/>
    <w:rsid w:val="4F492412"/>
    <w:rsid w:val="564D3B0C"/>
    <w:rsid w:val="57B5975B"/>
    <w:rsid w:val="58344993"/>
    <w:rsid w:val="5D7739F7"/>
    <w:rsid w:val="5DEB0EF6"/>
    <w:rsid w:val="5EBF6314"/>
    <w:rsid w:val="5FE0186B"/>
    <w:rsid w:val="60D3572B"/>
    <w:rsid w:val="61EC14AD"/>
    <w:rsid w:val="63034281"/>
    <w:rsid w:val="653F3CDA"/>
    <w:rsid w:val="65FA2680"/>
    <w:rsid w:val="6FB7A024"/>
    <w:rsid w:val="71885C26"/>
    <w:rsid w:val="739B965A"/>
    <w:rsid w:val="79A23790"/>
    <w:rsid w:val="7AEFD64A"/>
    <w:rsid w:val="7BFD954D"/>
    <w:rsid w:val="7DEBCAFF"/>
    <w:rsid w:val="7E77DA0A"/>
    <w:rsid w:val="7F07317A"/>
    <w:rsid w:val="7F7F70A2"/>
    <w:rsid w:val="7FAB799D"/>
    <w:rsid w:val="7FB4BF24"/>
    <w:rsid w:val="7FDF20C6"/>
    <w:rsid w:val="7FE978CA"/>
    <w:rsid w:val="7FFF75F1"/>
    <w:rsid w:val="BBBE99DB"/>
    <w:rsid w:val="BFAF43A0"/>
    <w:rsid w:val="CFFEF6DF"/>
    <w:rsid w:val="DF2F4C73"/>
    <w:rsid w:val="DFEDA69B"/>
    <w:rsid w:val="E9CD2AA5"/>
    <w:rsid w:val="EE8F657A"/>
    <w:rsid w:val="FBFFB783"/>
    <w:rsid w:val="FEF3C1B6"/>
    <w:rsid w:val="FFEF84C7"/>
    <w:rsid w:val="FFFE0508"/>
    <w:rsid w:val="FFFE329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customStyle="1" w:styleId="11">
    <w:name w:val="0"/>
    <w:basedOn w:val="1"/>
    <w:qFormat/>
    <w:uiPriority w:val="0"/>
    <w:pPr>
      <w:widowControl/>
      <w:snapToGrid w:val="0"/>
    </w:pPr>
    <w:rPr>
      <w:rFonts w:ascii="Times New Roman" w:hAnsi="Times New Roman" w:eastAsia="宋体"/>
      <w:kern w:val="0"/>
      <w:sz w:val="21"/>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3816</Words>
  <Characters>4176</Characters>
  <Lines>27</Lines>
  <Paragraphs>7</Paragraphs>
  <TotalTime>3</TotalTime>
  <ScaleCrop>false</ScaleCrop>
  <LinksUpToDate>false</LinksUpToDate>
  <CharactersWithSpaces>4198</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2017-02-05T23:31:00Z</dcterms:created>
  <dc:creator>null,null,总收发</dc:creator>
  <cp:lastModifiedBy>user</cp:lastModifiedBy>
  <dcterms:modified xsi:type="dcterms:W3CDTF">2023-10-20T11:17:33Z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6A21FC3CD55B47B59AEADD0DF396A3F2</vt:lpwstr>
  </property>
</Properties>
</file>