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
    <w:p/>
    <w:p>
      <w:pPr>
        <w:jc w:val="center"/>
        <w:rPr>
          <w:rFonts w:asciiTheme="majorEastAsia" w:hAnsiTheme="majorEastAsia" w:eastAsiaTheme="majorEastAsia" w:cstheme="majorEastAsia"/>
          <w:sz w:val="52"/>
          <w:szCs w:val="52"/>
        </w:rPr>
      </w:pPr>
    </w:p>
    <w:p>
      <w:pPr>
        <w:jc w:val="center"/>
        <w:rPr>
          <w:rFonts w:ascii="黑体" w:hAnsi="黑体" w:eastAsia="黑体"/>
          <w:sz w:val="44"/>
          <w:szCs w:val="44"/>
        </w:rPr>
      </w:pPr>
      <w:r>
        <w:rPr>
          <w:rFonts w:hint="eastAsia" w:ascii="黑体" w:hAnsi="黑体" w:eastAsia="黑体"/>
          <w:sz w:val="44"/>
          <w:szCs w:val="44"/>
        </w:rPr>
        <w:t>2022年三亚市中医院</w:t>
      </w:r>
      <w:r>
        <w:rPr>
          <w:rFonts w:hint="eastAsia" w:ascii="黑体" w:hAnsi="黑体" w:eastAsia="黑体"/>
          <w:sz w:val="44"/>
          <w:szCs w:val="44"/>
          <w:lang w:eastAsia="zh-CN"/>
        </w:rPr>
        <w:t>单位</w:t>
      </w:r>
      <w:r>
        <w:rPr>
          <w:rFonts w:hint="eastAsia" w:ascii="黑体" w:hAnsi="黑体" w:eastAsia="黑体"/>
          <w:sz w:val="44"/>
          <w:szCs w:val="44"/>
        </w:rPr>
        <w:t>预算</w:t>
      </w: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Theme="majorEastAsia" w:hAnsiTheme="majorEastAsia" w:eastAsiaTheme="majorEastAsia" w:cstheme="majorEastAsia"/>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11"/>
        <w:numPr>
          <w:ilvl w:val="0"/>
          <w:numId w:val="1"/>
        </w:numPr>
        <w:ind w:left="1740" w:leftChars="0"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三亚市中医院</w:t>
      </w:r>
      <w:r>
        <w:rPr>
          <w:rFonts w:hint="eastAsia" w:ascii="黑体" w:hAnsi="黑体" w:eastAsia="黑体"/>
          <w:sz w:val="32"/>
          <w:szCs w:val="32"/>
        </w:rPr>
        <w:t>概况</w:t>
      </w:r>
    </w:p>
    <w:p>
      <w:pPr>
        <w:pStyle w:val="11"/>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1"/>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11"/>
        <w:numPr>
          <w:ilvl w:val="0"/>
          <w:numId w:val="1"/>
        </w:numPr>
        <w:ind w:left="1740" w:leftChars="0"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三亚市中医院</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1"/>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11"/>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1"/>
        <w:numPr>
          <w:ilvl w:val="0"/>
          <w:numId w:val="1"/>
        </w:numPr>
        <w:ind w:left="1740" w:leftChars="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三亚市中医院</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11"/>
        <w:numPr>
          <w:ilvl w:val="0"/>
          <w:numId w:val="1"/>
        </w:numPr>
        <w:ind w:left="1740" w:leftChars="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1"/>
        <w:ind w:left="1320" w:firstLine="0" w:firstLineChars="0"/>
        <w:jc w:val="left"/>
        <w:rPr>
          <w:rFonts w:ascii="黑体" w:hAnsi="黑体" w:eastAsia="黑体"/>
          <w:sz w:val="32"/>
          <w:szCs w:val="32"/>
        </w:rPr>
      </w:pPr>
    </w:p>
    <w:p>
      <w:pPr>
        <w:jc w:val="center"/>
        <w:rPr>
          <w:rFonts w:asciiTheme="majorEastAsia" w:hAnsiTheme="majorEastAsia" w:eastAsiaTheme="majorEastAsia" w:cstheme="majorEastAsia"/>
          <w:sz w:val="52"/>
          <w:szCs w:val="52"/>
        </w:rPr>
      </w:pPr>
    </w:p>
    <w:p>
      <w:pPr>
        <w:pStyle w:val="8"/>
        <w:numPr>
          <w:ilvl w:val="0"/>
          <w:numId w:val="0"/>
        </w:numPr>
        <w:spacing w:line="500" w:lineRule="exact"/>
        <w:ind w:leftChars="0"/>
        <w:jc w:val="left"/>
        <w:rPr>
          <w:rFonts w:hint="eastAsia" w:ascii="黑体" w:hAnsi="黑体" w:eastAsia="黑体"/>
          <w:sz w:val="32"/>
          <w:szCs w:val="32"/>
        </w:rPr>
      </w:pPr>
    </w:p>
    <w:p>
      <w:pPr>
        <w:pStyle w:val="8"/>
        <w:numPr>
          <w:ilvl w:val="0"/>
          <w:numId w:val="0"/>
        </w:numPr>
        <w:spacing w:line="500" w:lineRule="exact"/>
        <w:ind w:leftChars="0"/>
        <w:jc w:val="left"/>
        <w:rPr>
          <w:rFonts w:hint="eastAsia" w:ascii="黑体" w:hAnsi="黑体" w:eastAsia="黑体"/>
          <w:sz w:val="32"/>
          <w:szCs w:val="32"/>
        </w:rPr>
      </w:pPr>
    </w:p>
    <w:p>
      <w:pPr>
        <w:pStyle w:val="8"/>
        <w:numPr>
          <w:ilvl w:val="0"/>
          <w:numId w:val="0"/>
        </w:numPr>
        <w:spacing w:line="500" w:lineRule="exact"/>
        <w:ind w:leftChars="0"/>
        <w:jc w:val="center"/>
        <w:rPr>
          <w:rFonts w:hint="eastAsia"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rPr>
        <w:t>三亚市中医院概况</w:t>
      </w:r>
    </w:p>
    <w:p>
      <w:pPr>
        <w:pStyle w:val="8"/>
        <w:numPr>
          <w:ilvl w:val="0"/>
          <w:numId w:val="0"/>
        </w:numPr>
        <w:spacing w:line="500" w:lineRule="exact"/>
        <w:ind w:leftChars="0"/>
        <w:jc w:val="center"/>
        <w:rPr>
          <w:rFonts w:hint="eastAsia" w:ascii="黑体" w:hAnsi="黑体" w:eastAsia="黑体"/>
          <w:sz w:val="32"/>
          <w:szCs w:val="32"/>
        </w:rPr>
      </w:pPr>
    </w:p>
    <w:p>
      <w:pPr>
        <w:pStyle w:val="11"/>
        <w:numPr>
          <w:ilvl w:val="0"/>
          <w:numId w:val="4"/>
        </w:numPr>
        <w:ind w:firstLineChars="0"/>
        <w:jc w:val="left"/>
        <w:rPr>
          <w:rFonts w:hint="eastAsia" w:ascii="Times New Roman" w:hAnsi="Times New Roman" w:eastAsia="仿宋_GB2312" w:cs="Times New Roman"/>
          <w:sz w:val="32"/>
          <w:szCs w:val="32"/>
        </w:rPr>
      </w:pPr>
      <w:r>
        <w:rPr>
          <w:rFonts w:hint="eastAsia" w:ascii="黑体" w:hAnsi="黑体" w:eastAsia="黑体" w:cs="仿宋_GB2312"/>
          <w:sz w:val="32"/>
          <w:szCs w:val="32"/>
        </w:rPr>
        <w:t>主要职能</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亚市中医院位于吉阳区凤凰路106号，世界小姐选美赛址“美丽之冠”对面，面朝临春河，背靠凤凰山，环境优雅，是一家集医疗、教学、科研、保健、康复、传统医药国际交流与合作为一体的三级甲等中医医院。2008年，医院被批准为国家中医药管理局国际交流合作基地、对俄中医药合作协作组成员，被列为国家中医药服务贸易试点单位；2014年，医院被纳入国家首批中医药服务贸易先行先试骨干企业（机构）建设目录；2015年，医院入选中医药国际合作专项“中医药健康旅游示范基地建设单位”。2017年5月医院入选中医药传承创新工程“全国重点中医医院”储备库；2017年12月，三亚市中医院阿拉木图中医中心挂牌运营</w:t>
      </w:r>
      <w:r>
        <w:rPr>
          <w:rFonts w:hint="eastAsia" w:ascii="仿宋" w:hAnsi="仿宋" w:eastAsia="仿宋" w:cs="仿宋"/>
          <w:color w:val="333333"/>
          <w:kern w:val="0"/>
          <w:sz w:val="30"/>
          <w:szCs w:val="30"/>
          <w:shd w:val="clear" w:color="auto" w:fill="FFFFFF"/>
        </w:rPr>
        <w:t>；2018年</w:t>
      </w:r>
      <w:r>
        <w:rPr>
          <w:rFonts w:hint="eastAsia" w:ascii="仿宋" w:hAnsi="仿宋" w:eastAsia="仿宋" w:cs="仿宋"/>
          <w:sz w:val="32"/>
          <w:szCs w:val="32"/>
        </w:rPr>
        <w:t>4月，国家公布第一批中医药健康旅游示范基地医院榜上有名；2018年6月，医院再次入选中医药国际合作专项“中国-亚欧国家中医药疗养国际合作基地（海南）”。同时，医院积极开展中医药文化传播，现为全国中医药文化宣传教育基地和海南省中医药文化宣传教育基地。2019年，医院入选国家中医药服务出口基地。</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医院始建于1991年，2008年整体从新风路搬迁至凤凰路，现院区占地45亩，总建筑面积55947.74平方米，编制床位630张。截</w:t>
      </w:r>
      <w:r>
        <w:rPr>
          <w:rFonts w:hint="eastAsia" w:ascii="仿宋" w:hAnsi="仿宋" w:eastAsia="仿宋" w:cs="仿宋"/>
          <w:sz w:val="32"/>
          <w:szCs w:val="32"/>
          <w:lang w:eastAsia="zh-CN"/>
        </w:rPr>
        <w:t>至</w:t>
      </w:r>
      <w:bookmarkStart w:id="0" w:name="_GoBack"/>
      <w:bookmarkEnd w:id="0"/>
      <w:r>
        <w:rPr>
          <w:rFonts w:hint="eastAsia" w:ascii="仿宋" w:hAnsi="仿宋" w:eastAsia="仿宋" w:cs="仿宋"/>
          <w:sz w:val="32"/>
          <w:szCs w:val="32"/>
        </w:rPr>
        <w:t>目前，全院在岗人数691人，博士11人，硕士89人，正高职称27人，副高职称56人，中级职称191人。其中，全国名老中医专家、国务院特殊津贴专家1人，第六批全国老中医药专家学术经验指导老师2人，国家优秀中医临床研修人才2人，广州中医药大学博士研究生导师1人、硕士研究生导师6人，长春中医药大学硕士研究生导师1人，湖南中医药大学硕士研究生导师1人。</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院形成了10多个特色鲜明、疗效明显的专科，骨伤专科、脾胃病专科、脑病专科、针灸专科、肾病专科等是国家级和省级的重点专科。护理学、临床药学、治未病科为国家中医重点专科协作组成员单位，急症医学科为国家重点临床学科共建单位，通过共管共建不仅提高临床疗效，而且推动中医药事业发展成果。2018年，医院召开学科建设发展会议，明确了心病、脑病、骨伤、康复、治未病为医院重点支持和发展的学科。</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医院配备1.5 T核磁共振、美国GE公司innova3100数字化平板血管机、64层螺旋CT、DR、SC2000高端心脏彩色多普勒、动态平板多功能X线透视摄像系统、日立prosound F75全数字化高档全身型彩色多普勒超声诊断仪、多功能全身彩超、腹腔镜、关节镜、C臂X光机、日立7600全自动生化分析仪、西门子移动式DR等进口系列先进设备，总价值1.2 亿元。</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2002年以来，医院突出中医药特色和优势，结合三亚得天独厚的自然环境和旅游资源，开设三亚欣欣荣中医疗养国际旅行社，率先在全国开展“中医疗养游”。至今，已接待俄罗斯、瑞典、挪威、奥地利、德国、法国等多国客人并接待国外疗养包机，为哈萨克斯坦总统纳扎尔巴耶夫、塔吉克斯坦总统拉赫默诺夫、俄罗斯联邦政府总理梅德韦杰夫、吉尔吉斯斯坦总理萨特巴尔季耶夫等政要在内的10万余名外宾提供高端定制中医药健康服务。圆满完成俄罗斯别斯兰恐怖事件两批受伤儿童和50名吉尔吉斯斯坦儿童的中医康复疗养任务，获得由俄罗斯联邦政府总理签发的“为中俄友谊作出贡献”奖状、俄罗斯联邦卫生和社会发展部颁发的荣誉状，收到中华人民共和国外交部和吉尔吉斯斯坦驻华大使馆、塔吉克斯坦驻华大使馆等国的感谢信。为进一步巩固和加强中医药服务贸易成果，更好服务国家“一带一路”战略，在中医药健康旅游示范基地建设的经验指导下，三亚市中医院阿拉木图中医中心、“中国-亚欧国家中医药疗养国际合作基地（海南）”、“国家中医药服务出口基地”正在全面推进建设，让国粹中医在“一带一路”绽放光彩。2020中国特色旅游商品大赛，三亚市中医院出品的“喜松堂”四季时令茶系列、“喜松堂”安康香囊系列、“喜松堂”植萃浴球获得专家评审组的一致好评，最终荣获2项金奖1项银奖。</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医院以仁、和、精、诚为服务理念，做到中医有特色、西医上水平，力争建设成为功能全面、特色鲜明，与海南自由贸易港相匹配的现代化中医医院。</w:t>
      </w:r>
    </w:p>
    <w:p>
      <w:pPr>
        <w:numPr>
          <w:ilvl w:val="0"/>
          <w:numId w:val="0"/>
        </w:numPr>
        <w:spacing w:line="500" w:lineRule="exact"/>
        <w:ind w:left="630" w:leftChars="0"/>
        <w:rPr>
          <w:rFonts w:hint="eastAsia" w:ascii="Times New Roman" w:hAnsi="Times New Roman" w:eastAsia="仿宋_GB2312" w:cs="Times New Roman"/>
          <w:sz w:val="32"/>
          <w:szCs w:val="32"/>
        </w:rPr>
      </w:pPr>
      <w:r>
        <w:rPr>
          <w:rFonts w:hint="eastAsia" w:ascii="仿宋" w:hAnsi="仿宋" w:eastAsia="仿宋" w:cs="仿宋"/>
          <w:sz w:val="32"/>
          <w:szCs w:val="32"/>
        </w:rPr>
        <w:t>医疗与护理、医学教学、医学研究、专业人员培训。</w:t>
      </w:r>
      <w:r>
        <w:rPr>
          <w:rFonts w:hint="eastAsia" w:ascii="Times New Roman" w:hAnsi="Times New Roman" w:eastAsia="仿宋_GB2312" w:cs="Times New Roman"/>
          <w:sz w:val="32"/>
          <w:szCs w:val="32"/>
        </w:rPr>
        <w:t xml:space="preserve">  </w:t>
      </w:r>
    </w:p>
    <w:p>
      <w:pPr>
        <w:numPr>
          <w:ilvl w:val="0"/>
          <w:numId w:val="0"/>
        </w:numPr>
        <w:spacing w:line="500" w:lineRule="exact"/>
        <w:ind w:left="630" w:leftChars="0"/>
        <w:rPr>
          <w:rFonts w:ascii="微软雅黑" w:hAnsi="微软雅黑" w:eastAsia="微软雅黑" w:cs="微软雅黑"/>
          <w:color w:val="333333"/>
          <w:kern w:val="0"/>
          <w:sz w:val="30"/>
          <w:szCs w:val="30"/>
          <w:shd w:val="clear" w:color="auto" w:fill="FFFFFF"/>
        </w:rPr>
      </w:pPr>
      <w:r>
        <w:rPr>
          <w:rFonts w:hint="eastAsia" w:ascii="Times New Roman" w:hAnsi="Times New Roman" w:eastAsia="仿宋_GB2312" w:cs="Times New Roman"/>
          <w:sz w:val="32"/>
          <w:szCs w:val="32"/>
        </w:rPr>
        <w:t xml:space="preserve">                         </w:t>
      </w:r>
    </w:p>
    <w:p>
      <w:pPr>
        <w:pStyle w:val="8"/>
        <w:numPr>
          <w:ilvl w:val="0"/>
          <w:numId w:val="5"/>
        </w:numPr>
        <w:spacing w:line="500" w:lineRule="exact"/>
        <w:ind w:leftChars="0" w:firstLine="640" w:firstLineChars="200"/>
        <w:rPr>
          <w:rFonts w:hint="eastAsia"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三亚市中医院2022年单位预算表构成</w:t>
      </w:r>
    </w:p>
    <w:p>
      <w:pPr>
        <w:pStyle w:val="8"/>
        <w:numPr>
          <w:ilvl w:val="0"/>
          <w:numId w:val="0"/>
        </w:numPr>
        <w:spacing w:line="500" w:lineRule="exact"/>
        <w:ind w:leftChars="200"/>
        <w:rPr>
          <w:rFonts w:hint="eastAsia" w:ascii="黑体" w:hAnsi="黑体" w:eastAsia="黑体"/>
          <w:sz w:val="32"/>
          <w:szCs w:val="32"/>
        </w:rPr>
      </w:pPr>
    </w:p>
    <w:p>
      <w:pPr>
        <w:pStyle w:val="8"/>
        <w:numPr>
          <w:ilvl w:val="0"/>
          <w:numId w:val="0"/>
        </w:numPr>
        <w:spacing w:line="500" w:lineRule="exact"/>
        <w:ind w:leftChars="200"/>
        <w:jc w:val="center"/>
        <w:rPr>
          <w:rFonts w:hint="eastAsia" w:ascii="黑体" w:hAnsi="黑体" w:eastAsia="黑体"/>
          <w:sz w:val="32"/>
          <w:szCs w:val="32"/>
          <w:lang w:val="en-US" w:eastAsia="zh-CN"/>
        </w:rPr>
      </w:pPr>
      <w:r>
        <w:rPr>
          <w:rFonts w:hint="eastAsia" w:ascii="仿宋" w:hAnsi="仿宋" w:eastAsia="仿宋" w:cs="仿宋"/>
          <w:b w:val="0"/>
          <w:bCs w:val="0"/>
          <w:sz w:val="32"/>
          <w:szCs w:val="32"/>
          <w:lang w:val="en-US" w:eastAsia="zh-CN"/>
        </w:rPr>
        <w:t>详见单位预算公开表</w:t>
      </w:r>
    </w:p>
    <w:p>
      <w:pPr>
        <w:pStyle w:val="8"/>
        <w:numPr>
          <w:ilvl w:val="0"/>
          <w:numId w:val="0"/>
        </w:numPr>
        <w:spacing w:line="500" w:lineRule="exact"/>
        <w:ind w:leftChars="200"/>
        <w:rPr>
          <w:rFonts w:hint="default" w:ascii="黑体" w:hAnsi="黑体" w:eastAsia="黑体"/>
          <w:sz w:val="32"/>
          <w:szCs w:val="32"/>
          <w:lang w:val="en-US" w:eastAsia="zh-CN"/>
        </w:rPr>
      </w:pPr>
    </w:p>
    <w:p>
      <w:pPr>
        <w:pStyle w:val="8"/>
        <w:numPr>
          <w:ilvl w:val="0"/>
          <w:numId w:val="5"/>
        </w:numPr>
        <w:spacing w:line="500" w:lineRule="exact"/>
        <w:ind w:leftChars="0" w:firstLine="640" w:firstLineChars="200"/>
        <w:rPr>
          <w:rFonts w:ascii="仿宋_GB2312" w:hAnsi="仿宋_GB2312" w:eastAsia="仿宋_GB2312" w:cs="仿宋_GB2312"/>
          <w:sz w:val="32"/>
          <w:szCs w:val="32"/>
        </w:rPr>
      </w:pPr>
      <w:r>
        <w:rPr>
          <w:rFonts w:hint="eastAsia" w:ascii="黑体" w:hAnsi="黑体" w:eastAsia="黑体"/>
          <w:sz w:val="32"/>
          <w:szCs w:val="32"/>
        </w:rPr>
        <w:t>三亚市中医院</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pStyle w:val="8"/>
        <w:numPr>
          <w:ilvl w:val="0"/>
          <w:numId w:val="0"/>
        </w:numPr>
        <w:spacing w:line="500" w:lineRule="exact"/>
        <w:ind w:leftChars="200"/>
        <w:rPr>
          <w:rFonts w:ascii="仿宋_GB2312" w:hAnsi="仿宋_GB2312" w:eastAsia="仿宋_GB2312" w:cs="仿宋_GB2312"/>
          <w:sz w:val="32"/>
          <w:szCs w:val="32"/>
        </w:rPr>
      </w:pPr>
    </w:p>
    <w:p>
      <w:pPr>
        <w:pStyle w:val="8"/>
        <w:numPr>
          <w:ilvl w:val="0"/>
          <w:numId w:val="6"/>
        </w:numPr>
        <w:spacing w:line="500" w:lineRule="exact"/>
        <w:ind w:firstLine="600"/>
        <w:jc w:val="left"/>
        <w:rPr>
          <w:rFonts w:ascii="仿宋_GB2312" w:hAnsi="仿宋_GB2312" w:eastAsia="仿宋_GB2312" w:cs="仿宋_GB2312"/>
          <w:sz w:val="32"/>
          <w:szCs w:val="32"/>
        </w:rPr>
      </w:pPr>
      <w:r>
        <w:rPr>
          <w:rFonts w:hint="eastAsia" w:ascii="微软雅黑" w:hAnsi="微软雅黑" w:eastAsia="微软雅黑" w:cs="微软雅黑"/>
          <w:color w:val="333333"/>
          <w:kern w:val="0"/>
          <w:sz w:val="30"/>
          <w:szCs w:val="30"/>
          <w:shd w:val="clear" w:color="auto" w:fill="FFFFFF"/>
        </w:rPr>
        <w:t>关于三亚市中医院2022年财政拨款收支预算情况总体说明</w:t>
      </w:r>
    </w:p>
    <w:p>
      <w:pPr>
        <w:pStyle w:val="8"/>
        <w:spacing w:line="500" w:lineRule="exact"/>
        <w:ind w:firstLine="640"/>
        <w:rPr>
          <w:rFonts w:hint="eastAsia" w:ascii="仿宋" w:hAnsi="仿宋" w:eastAsia="仿宋" w:cs="仿宋"/>
          <w:sz w:val="32"/>
          <w:szCs w:val="32"/>
        </w:rPr>
      </w:pPr>
      <w:r>
        <w:rPr>
          <w:rFonts w:hint="eastAsia" w:ascii="仿宋" w:hAnsi="仿宋" w:eastAsia="仿宋" w:cs="仿宋"/>
          <w:sz w:val="32"/>
          <w:szCs w:val="32"/>
        </w:rPr>
        <w:t>三亚市中医院2022年财政拨款收支总预算10892.74 万元。其中收入总计4737.88万元，包括一般公共预算收入4737.88万元；上年结转6154.86万元，包括一般共预算收入4854.86万元，政府性基金预算资金1300万元；支出总计10892.74万元，包括社会保障和就业支出637.88万元，卫生健康支出8954.86万元，其他支出1300万元。</w:t>
      </w:r>
    </w:p>
    <w:p>
      <w:pPr>
        <w:pStyle w:val="8"/>
        <w:spacing w:line="500" w:lineRule="exact"/>
        <w:ind w:firstLine="0" w:firstLineChars="0"/>
        <w:jc w:val="left"/>
        <w:rPr>
          <w:rFonts w:ascii="微软雅黑" w:hAnsi="微软雅黑" w:eastAsia="微软雅黑" w:cs="微软雅黑"/>
          <w:color w:val="333333"/>
          <w:kern w:val="0"/>
          <w:sz w:val="30"/>
          <w:szCs w:val="30"/>
          <w:shd w:val="clear" w:color="auto" w:fill="FFFFFF"/>
        </w:rPr>
      </w:pPr>
      <w:r>
        <w:rPr>
          <w:rFonts w:hint="eastAsia" w:ascii="微软雅黑" w:hAnsi="微软雅黑" w:eastAsia="微软雅黑" w:cs="微软雅黑"/>
          <w:color w:val="333333"/>
          <w:kern w:val="0"/>
          <w:sz w:val="30"/>
          <w:szCs w:val="30"/>
          <w:shd w:val="clear" w:color="auto" w:fill="FFFFFF"/>
        </w:rPr>
        <w:t>二、关于三亚市中医院2022年一般公共预算当年拨款情况说明</w:t>
      </w:r>
    </w:p>
    <w:p>
      <w:pPr>
        <w:pStyle w:val="8"/>
        <w:spacing w:line="500" w:lineRule="exact"/>
        <w:ind w:firstLine="600"/>
        <w:jc w:val="left"/>
        <w:rPr>
          <w:rFonts w:ascii="Times New Roman" w:hAnsi="Times New Roman" w:eastAsia="楷体" w:cs="Times New Roman"/>
          <w:sz w:val="32"/>
          <w:szCs w:val="32"/>
        </w:rPr>
      </w:pPr>
      <w:r>
        <w:rPr>
          <w:rFonts w:hint="eastAsia" w:ascii="微软雅黑" w:hAnsi="微软雅黑" w:eastAsia="微软雅黑" w:cs="微软雅黑"/>
          <w:color w:val="333333"/>
          <w:kern w:val="0"/>
          <w:sz w:val="30"/>
          <w:szCs w:val="30"/>
          <w:shd w:val="clear" w:color="auto" w:fill="FFFFFF"/>
        </w:rPr>
        <w:t>（一）</w:t>
      </w:r>
      <w:r>
        <w:rPr>
          <w:rFonts w:hint="eastAsia" w:ascii="Times New Roman" w:hAnsi="Times New Roman" w:eastAsia="楷体" w:cs="Times New Roman"/>
          <w:sz w:val="32"/>
          <w:szCs w:val="32"/>
        </w:rPr>
        <w:t>一般公共预算当年规模变化情况</w:t>
      </w:r>
    </w:p>
    <w:p>
      <w:pPr>
        <w:pStyle w:val="8"/>
        <w:spacing w:line="5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中医院2022年一般公共预算当年拨款4737.88万元，比上年预算数减少348.39万元，主要原因是（1）专用设备购置经费减少了950万元；（2）在编人员养老经费及职业年金增加了101.61万元；（3）医疗服务与保障能力提升补助资金（中医药传承与发展部分）300万元的增加；（4）卫生健康发展专项资金200万的增加。</w:t>
      </w:r>
    </w:p>
    <w:p>
      <w:pPr>
        <w:pStyle w:val="8"/>
        <w:spacing w:line="500" w:lineRule="exact"/>
        <w:ind w:firstLine="300" w:firstLineChars="100"/>
        <w:jc w:val="left"/>
        <w:rPr>
          <w:rFonts w:ascii="Times New Roman" w:hAnsi="Times New Roman" w:eastAsia="楷体" w:cs="Times New Roman"/>
          <w:sz w:val="32"/>
          <w:szCs w:val="32"/>
        </w:rPr>
      </w:pPr>
      <w:r>
        <w:rPr>
          <w:rFonts w:hint="eastAsia" w:ascii="微软雅黑" w:hAnsi="微软雅黑" w:eastAsia="微软雅黑" w:cs="微软雅黑"/>
          <w:color w:val="333333"/>
          <w:kern w:val="0"/>
          <w:sz w:val="30"/>
          <w:szCs w:val="30"/>
          <w:shd w:val="clear" w:color="auto" w:fill="FFFFFF"/>
        </w:rPr>
        <w:t>（二）</w:t>
      </w:r>
      <w:r>
        <w:rPr>
          <w:rFonts w:hint="eastAsia" w:ascii="Times New Roman" w:hAnsi="Times New Roman" w:eastAsia="楷体" w:cs="Times New Roman"/>
          <w:sz w:val="32"/>
          <w:szCs w:val="32"/>
        </w:rPr>
        <w:t>一般公共预算当年拨款结构情况</w:t>
      </w:r>
    </w:p>
    <w:p>
      <w:pPr>
        <w:pStyle w:val="8"/>
        <w:spacing w:line="50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一般公共预算支出4737.88万元，占一般公共预算总支出100%。其中社会保障和就业支出637.88万元，占一般公共预算总支出13.46%；卫生健康支出4100万元，占一般公共预算总支出86.54%。</w:t>
      </w:r>
    </w:p>
    <w:p>
      <w:pPr>
        <w:numPr>
          <w:ilvl w:val="0"/>
          <w:numId w:val="7"/>
        </w:numPr>
        <w:ind w:firstLine="640"/>
        <w:jc w:val="left"/>
        <w:rPr>
          <w:rFonts w:ascii="Times New Roman" w:hAnsi="Times New Roman" w:eastAsia="楷体" w:cs="Times New Roman"/>
          <w:sz w:val="32"/>
          <w:szCs w:val="32"/>
          <w:highlight w:val="none"/>
        </w:rPr>
      </w:pPr>
      <w:r>
        <w:rPr>
          <w:rFonts w:ascii="Times New Roman" w:hAnsi="Times New Roman" w:eastAsia="楷体" w:cs="Times New Roman"/>
          <w:sz w:val="32"/>
          <w:szCs w:val="32"/>
          <w:highlight w:val="none"/>
        </w:rPr>
        <w:t>一般公共预算当年拨款具体使用情况</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w:t>
      </w:r>
      <w:r>
        <w:rPr>
          <w:rFonts w:ascii="Times New Roman" w:hAnsi="Times New Roman" w:eastAsia="仿宋_GB2312" w:cs="Times New Roman"/>
          <w:sz w:val="32"/>
          <w:szCs w:val="32"/>
          <w:highlight w:val="none"/>
        </w:rPr>
        <w:t>社会保障和就业支出</w:t>
      </w:r>
      <w:r>
        <w:rPr>
          <w:rFonts w:hint="eastAsia" w:ascii="Times New Roman" w:hAnsi="Times New Roman" w:eastAsia="仿宋_GB2312" w:cs="Times New Roman"/>
          <w:sz w:val="32"/>
          <w:szCs w:val="32"/>
          <w:highlight w:val="none"/>
        </w:rPr>
        <w:t>（类）</w:t>
      </w:r>
      <w:r>
        <w:rPr>
          <w:rFonts w:ascii="Times New Roman" w:hAnsi="Times New Roman" w:eastAsia="仿宋_GB2312" w:cs="Times New Roman"/>
          <w:sz w:val="32"/>
          <w:szCs w:val="32"/>
          <w:highlight w:val="none"/>
        </w:rPr>
        <w:t>行政事业单位养老支出（款）机关事业单位基本养老保险缴费支出（项）</w:t>
      </w:r>
      <w:r>
        <w:rPr>
          <w:rFonts w:hint="eastAsia" w:ascii="Times New Roman" w:hAnsi="Times New Roman" w:eastAsia="仿宋_GB2312" w:cs="Times New Roman"/>
          <w:sz w:val="32"/>
          <w:szCs w:val="32"/>
          <w:highlight w:val="none"/>
        </w:rPr>
        <w:t>2022</w:t>
      </w:r>
      <w:r>
        <w:rPr>
          <w:rFonts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rPr>
        <w:t>637.88</w:t>
      </w:r>
      <w:r>
        <w:rPr>
          <w:rFonts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280.37</w:t>
      </w:r>
      <w:r>
        <w:rPr>
          <w:rFonts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rPr>
        <w:t>在编人员</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rPr>
        <w:t>。</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2、卫生健康支出（类）公立医院</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rPr>
        <w:t>综合医院</w:t>
      </w:r>
      <w:r>
        <w:rPr>
          <w:rFonts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rPr>
        <w:t>2022</w:t>
      </w:r>
      <w:r>
        <w:rPr>
          <w:rFonts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7.61</w:t>
      </w:r>
      <w:r>
        <w:rPr>
          <w:rFonts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7.61</w:t>
      </w:r>
      <w:r>
        <w:rPr>
          <w:rFonts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今年上级补助提前下达的专项资金</w:t>
      </w:r>
      <w:r>
        <w:rPr>
          <w:rFonts w:hint="eastAsia" w:ascii="Times New Roman" w:hAnsi="Times New Roman" w:eastAsia="仿宋_GB2312" w:cs="Times New Roman"/>
          <w:sz w:val="32"/>
          <w:szCs w:val="32"/>
          <w:highlight w:val="none"/>
        </w:rPr>
        <w:t>。</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3、卫生健康支出（类）公立医院（款）中医(民族)医院（项）2022年预算数为5580.01元，</w:t>
      </w:r>
      <w:r>
        <w:rPr>
          <w:rFonts w:hint="eastAsia" w:ascii="Times New Roman" w:hAnsi="Times New Roman" w:eastAsia="仿宋_GB2312" w:cs="Times New Roman"/>
          <w:sz w:val="32"/>
          <w:szCs w:val="32"/>
          <w:highlight w:val="none"/>
          <w:lang w:eastAsia="zh-CN"/>
        </w:rPr>
        <w:t>比上年预算增加</w:t>
      </w:r>
      <w:r>
        <w:rPr>
          <w:rFonts w:hint="eastAsia" w:ascii="Times New Roman" w:hAnsi="Times New Roman" w:eastAsia="仿宋_GB2312" w:cs="Times New Roman"/>
          <w:sz w:val="32"/>
          <w:szCs w:val="32"/>
          <w:highlight w:val="none"/>
          <w:lang w:val="en-US" w:eastAsia="zh-CN"/>
        </w:rPr>
        <w:t>3230.01万元</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卫生健康支出（类）公立医院（款）其他公立医院支出（项）2022年预算数为</w:t>
      </w:r>
      <w:r>
        <w:rPr>
          <w:rFonts w:hint="eastAsia" w:ascii="Times New Roman" w:hAnsi="Times New Roman" w:eastAsia="仿宋_GB2312" w:cs="Times New Roman"/>
          <w:sz w:val="32"/>
          <w:szCs w:val="32"/>
          <w:highlight w:val="none"/>
          <w:lang w:val="en-US" w:eastAsia="zh-CN"/>
        </w:rPr>
        <w:t>30.16</w:t>
      </w:r>
      <w:r>
        <w:rPr>
          <w:rFonts w:hint="eastAsia" w:ascii="Times New Roman" w:hAnsi="Times New Roman" w:eastAsia="仿宋_GB2312" w:cs="Times New Roman"/>
          <w:sz w:val="32"/>
          <w:szCs w:val="32"/>
          <w:highlight w:val="none"/>
        </w:rPr>
        <w:t>元，</w:t>
      </w:r>
      <w:r>
        <w:rPr>
          <w:rFonts w:hint="eastAsia" w:ascii="Times New Roman" w:hAnsi="Times New Roman" w:eastAsia="仿宋_GB2312" w:cs="Times New Roman"/>
          <w:sz w:val="32"/>
          <w:szCs w:val="32"/>
          <w:highlight w:val="none"/>
          <w:lang w:eastAsia="zh-CN"/>
        </w:rPr>
        <w:t>比上年预算增加</w:t>
      </w:r>
      <w:r>
        <w:rPr>
          <w:rFonts w:hint="eastAsia" w:ascii="Times New Roman" w:hAnsi="Times New Roman" w:eastAsia="仿宋_GB2312" w:cs="Times New Roman"/>
          <w:sz w:val="32"/>
          <w:szCs w:val="32"/>
          <w:highlight w:val="none"/>
          <w:lang w:val="en-US" w:eastAsia="zh-CN"/>
        </w:rPr>
        <w:t>30.16万元</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、卫生健康支出（类）公共卫生（款）基本公共卫生服务</w:t>
      </w:r>
      <w:r>
        <w:rPr>
          <w:rFonts w:hint="eastAsia" w:ascii="Times New Roman" w:hAnsi="Times New Roman" w:eastAsia="仿宋_GB2312" w:cs="Times New Roman"/>
          <w:sz w:val="32"/>
          <w:szCs w:val="32"/>
          <w:highlight w:val="none"/>
          <w:lang w:eastAsia="zh-CN"/>
        </w:rPr>
        <w:t>（项）</w:t>
      </w:r>
      <w:r>
        <w:rPr>
          <w:rFonts w:hint="eastAsia" w:ascii="Times New Roman" w:hAnsi="Times New Roman" w:eastAsia="仿宋_GB2312" w:cs="Times New Roman"/>
          <w:sz w:val="32"/>
          <w:szCs w:val="32"/>
          <w:highlight w:val="none"/>
        </w:rPr>
        <w:t>2022年预算数为</w:t>
      </w:r>
      <w:r>
        <w:rPr>
          <w:rFonts w:hint="eastAsia" w:ascii="Times New Roman" w:hAnsi="Times New Roman" w:eastAsia="仿宋_GB2312" w:cs="Times New Roman"/>
          <w:sz w:val="32"/>
          <w:szCs w:val="32"/>
          <w:highlight w:val="none"/>
          <w:lang w:val="en-US" w:eastAsia="zh-CN"/>
        </w:rPr>
        <w:t>1.1万</w:t>
      </w:r>
      <w:r>
        <w:rPr>
          <w:rFonts w:hint="eastAsia" w:ascii="Times New Roman" w:hAnsi="Times New Roman" w:eastAsia="仿宋_GB2312" w:cs="Times New Roman"/>
          <w:sz w:val="32"/>
          <w:szCs w:val="32"/>
          <w:highlight w:val="none"/>
        </w:rPr>
        <w:t>元，</w:t>
      </w:r>
      <w:r>
        <w:rPr>
          <w:rFonts w:hint="eastAsia" w:ascii="Times New Roman" w:hAnsi="Times New Roman" w:eastAsia="仿宋_GB2312" w:cs="Times New Roman"/>
          <w:sz w:val="32"/>
          <w:szCs w:val="32"/>
          <w:highlight w:val="none"/>
          <w:lang w:eastAsia="zh-CN"/>
        </w:rPr>
        <w:t>比上年预算增加</w:t>
      </w:r>
      <w:r>
        <w:rPr>
          <w:rFonts w:hint="eastAsia" w:ascii="Times New Roman" w:hAnsi="Times New Roman" w:eastAsia="仿宋_GB2312" w:cs="Times New Roman"/>
          <w:sz w:val="32"/>
          <w:szCs w:val="32"/>
          <w:highlight w:val="none"/>
          <w:lang w:val="en-US" w:eastAsia="zh-CN"/>
        </w:rPr>
        <w:t>1.1万元，</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firstLineChars="200"/>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rPr>
        <w:t>卫生健康支出（类）公共卫生（款）重大公共卫生服务</w:t>
      </w:r>
      <w:r>
        <w:rPr>
          <w:rFonts w:hint="eastAsia" w:ascii="Times New Roman" w:hAnsi="Times New Roman" w:eastAsia="仿宋_GB2312" w:cs="Times New Roman"/>
          <w:sz w:val="32"/>
          <w:szCs w:val="32"/>
          <w:highlight w:val="none"/>
          <w:lang w:eastAsia="zh-CN"/>
        </w:rPr>
        <w:t>（项）</w:t>
      </w:r>
      <w:r>
        <w:rPr>
          <w:rFonts w:hint="eastAsia" w:ascii="Times New Roman" w:hAnsi="Times New Roman" w:eastAsia="仿宋_GB2312" w:cs="Times New Roman"/>
          <w:sz w:val="32"/>
          <w:szCs w:val="32"/>
          <w:highlight w:val="none"/>
        </w:rPr>
        <w:t>2022年预算数为</w:t>
      </w:r>
      <w:r>
        <w:rPr>
          <w:rFonts w:hint="eastAsia" w:ascii="Times New Roman" w:hAnsi="Times New Roman" w:eastAsia="仿宋_GB2312" w:cs="Times New Roman"/>
          <w:sz w:val="32"/>
          <w:szCs w:val="32"/>
          <w:highlight w:val="none"/>
          <w:lang w:val="en-US" w:eastAsia="zh-CN"/>
        </w:rPr>
        <w:t>9.93万</w:t>
      </w:r>
      <w:r>
        <w:rPr>
          <w:rFonts w:hint="eastAsia" w:ascii="Times New Roman" w:hAnsi="Times New Roman" w:eastAsia="仿宋_GB2312" w:cs="Times New Roman"/>
          <w:sz w:val="32"/>
          <w:szCs w:val="32"/>
          <w:highlight w:val="none"/>
        </w:rPr>
        <w:t>元，</w:t>
      </w:r>
      <w:r>
        <w:rPr>
          <w:rFonts w:hint="eastAsia" w:ascii="Times New Roman" w:hAnsi="Times New Roman" w:eastAsia="仿宋_GB2312" w:cs="Times New Roman"/>
          <w:sz w:val="32"/>
          <w:szCs w:val="32"/>
          <w:highlight w:val="none"/>
          <w:lang w:eastAsia="zh-CN"/>
        </w:rPr>
        <w:t>比上年预算增加</w:t>
      </w:r>
      <w:r>
        <w:rPr>
          <w:rFonts w:hint="eastAsia" w:ascii="Times New Roman" w:hAnsi="Times New Roman" w:eastAsia="仿宋_GB2312" w:cs="Times New Roman"/>
          <w:sz w:val="32"/>
          <w:szCs w:val="32"/>
          <w:highlight w:val="none"/>
          <w:lang w:val="en-US" w:eastAsia="zh-CN"/>
        </w:rPr>
        <w:t>9.93万元，</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firstLineChars="200"/>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none"/>
          <w:lang w:val="en-US" w:eastAsia="zh-CN"/>
        </w:rPr>
        <w:t>7.</w:t>
      </w:r>
      <w:r>
        <w:rPr>
          <w:rFonts w:hint="eastAsia" w:ascii="Times New Roman" w:hAnsi="Times New Roman" w:eastAsia="仿宋_GB2312" w:cs="Times New Roman"/>
          <w:sz w:val="32"/>
          <w:szCs w:val="32"/>
          <w:highlight w:val="none"/>
        </w:rPr>
        <w:t>卫生健康支出（类）中医药</w:t>
      </w:r>
      <w:r>
        <w:rPr>
          <w:rFonts w:hint="eastAsia" w:ascii="Times New Roman" w:hAnsi="Times New Roman" w:eastAsia="仿宋_GB2312" w:cs="Times New Roman"/>
          <w:sz w:val="32"/>
          <w:szCs w:val="32"/>
          <w:highlight w:val="none"/>
          <w:lang w:eastAsia="zh-CN"/>
        </w:rPr>
        <w:t>（款）中医（民族医）药专项（项）</w:t>
      </w:r>
      <w:r>
        <w:rPr>
          <w:rFonts w:hint="eastAsia" w:ascii="Times New Roman" w:hAnsi="Times New Roman" w:eastAsia="仿宋_GB2312" w:cs="Times New Roman"/>
          <w:sz w:val="32"/>
          <w:szCs w:val="32"/>
          <w:highlight w:val="none"/>
          <w:lang w:val="en-US" w:eastAsia="zh-CN"/>
        </w:rPr>
        <w:t>2022年预算数为</w:t>
      </w:r>
      <w:r>
        <w:rPr>
          <w:rFonts w:hint="eastAsia" w:ascii="Times New Roman" w:hAnsi="Times New Roman" w:eastAsia="仿宋_GB2312" w:cs="Times New Roman"/>
          <w:sz w:val="32"/>
          <w:szCs w:val="32"/>
          <w:highlight w:val="none"/>
          <w:lang w:eastAsia="zh-CN"/>
        </w:rPr>
        <w:t>2842.11万元，比上年预算增加</w:t>
      </w:r>
      <w:r>
        <w:rPr>
          <w:rFonts w:hint="eastAsia" w:ascii="Times New Roman" w:hAnsi="Times New Roman" w:eastAsia="仿宋_GB2312" w:cs="Times New Roman"/>
          <w:sz w:val="32"/>
          <w:szCs w:val="32"/>
          <w:highlight w:val="none"/>
          <w:lang w:val="en-US" w:eastAsia="zh-CN"/>
        </w:rPr>
        <w:t>642.11万元，</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rPr>
        <w:t>卫生健康支出（类）其他卫生健康支出</w:t>
      </w:r>
      <w:r>
        <w:rPr>
          <w:rFonts w:hint="eastAsia" w:ascii="Times New Roman" w:hAnsi="Times New Roman" w:eastAsia="仿宋_GB2312" w:cs="Times New Roman"/>
          <w:sz w:val="32"/>
          <w:szCs w:val="32"/>
          <w:highlight w:val="none"/>
          <w:lang w:eastAsia="zh-CN"/>
        </w:rPr>
        <w:t>（款）其他卫生健康支出（项）</w:t>
      </w:r>
      <w:r>
        <w:rPr>
          <w:rFonts w:hint="eastAsia" w:ascii="Times New Roman" w:hAnsi="Times New Roman" w:eastAsia="仿宋_GB2312" w:cs="Times New Roman"/>
          <w:sz w:val="32"/>
          <w:szCs w:val="32"/>
          <w:highlight w:val="none"/>
          <w:lang w:val="en-US" w:eastAsia="zh-CN"/>
        </w:rPr>
        <w:t>2022年预算数为483.94万元，比上年预算增加483.94万元，</w:t>
      </w:r>
      <w:r>
        <w:rPr>
          <w:rFonts w:hint="eastAsia" w:ascii="Times New Roman" w:hAnsi="Times New Roman" w:eastAsia="仿宋_GB2312" w:cs="Times New Roman"/>
          <w:sz w:val="32"/>
          <w:szCs w:val="32"/>
          <w:highlight w:val="none"/>
          <w:lang w:eastAsia="zh-CN"/>
        </w:rPr>
        <w:t>主要是今年上级补助提前下达的专项资金。</w:t>
      </w:r>
    </w:p>
    <w:p>
      <w:pPr>
        <w:ind w:firstLine="64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关于</w:t>
      </w:r>
      <w:r>
        <w:rPr>
          <w:rFonts w:hint="eastAsia" w:ascii="Times New Roman" w:hAnsi="Times New Roman" w:eastAsia="黑体" w:cs="Times New Roman"/>
          <w:sz w:val="32"/>
          <w:szCs w:val="32"/>
        </w:rPr>
        <w:t>三亚市中医院2022</w:t>
      </w:r>
      <w:r>
        <w:rPr>
          <w:rFonts w:ascii="Times New Roman" w:hAnsi="Times New Roman" w:eastAsia="黑体" w:cs="Times New Roman"/>
          <w:sz w:val="32"/>
          <w:szCs w:val="32"/>
        </w:rPr>
        <w:t>年一般公共预算基本支出情况说明</w:t>
      </w:r>
    </w:p>
    <w:p>
      <w:pPr>
        <w:pStyle w:val="8"/>
        <w:spacing w:line="50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三亚市中医院2022</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，因三亚市中医院为差额拨款单位。</w:t>
      </w:r>
    </w:p>
    <w:p>
      <w:pPr>
        <w:pStyle w:val="8"/>
        <w:numPr>
          <w:ilvl w:val="0"/>
          <w:numId w:val="8"/>
        </w:numPr>
        <w:spacing w:line="500" w:lineRule="exact"/>
        <w:ind w:firstLine="640"/>
        <w:jc w:val="left"/>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三亚市中医院2022</w:t>
      </w:r>
      <w:r>
        <w:rPr>
          <w:rFonts w:ascii="Times New Roman" w:hAnsi="Times New Roman" w:eastAsia="黑体" w:cs="Times New Roman"/>
          <w:sz w:val="32"/>
          <w:shd w:val="clear" w:color="auto" w:fill="FFFFFF"/>
        </w:rPr>
        <w:t>年“三公”经费预算情况说明</w:t>
      </w:r>
    </w:p>
    <w:p>
      <w:pPr>
        <w:pStyle w:val="8"/>
        <w:spacing w:line="500" w:lineRule="exact"/>
        <w:ind w:firstLine="64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三亚市中医院2022</w:t>
      </w:r>
      <w:r>
        <w:rPr>
          <w:rFonts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hint="eastAsia" w:ascii="Times New Roman" w:hAnsi="Times New Roman" w:eastAsia="黑体" w:cs="Times New Roman"/>
          <w:sz w:val="32"/>
          <w:shd w:val="clear" w:color="auto" w:fill="FFFFFF"/>
        </w:rPr>
        <w:t>三亚市中医院2022</w:t>
      </w:r>
      <w:r>
        <w:rPr>
          <w:rFonts w:ascii="Times New Roman" w:hAnsi="Times New Roman" w:eastAsia="黑体" w:cs="Times New Roman"/>
          <w:sz w:val="32"/>
          <w:shd w:val="clear" w:color="auto" w:fill="FFFFFF"/>
        </w:rPr>
        <w:t>年政府性基金预算当年拨款情况说明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三亚市中医院2022</w:t>
      </w:r>
      <w:r>
        <w:rPr>
          <w:rFonts w:ascii="Times New Roman" w:hAnsi="Times New Roman" w:eastAsia="仿宋_GB2312" w:cs="Times New Roman"/>
          <w:sz w:val="32"/>
          <w:szCs w:val="32"/>
        </w:rPr>
        <w:t>年政府性基金预算当年拨款</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无，与上年预算持平。</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无，与上年预算持平。</w:t>
      </w:r>
    </w:p>
    <w:p>
      <w:pPr>
        <w:pStyle w:val="8"/>
        <w:spacing w:line="500" w:lineRule="exact"/>
        <w:ind w:firstLine="600"/>
        <w:jc w:val="left"/>
        <w:rPr>
          <w:rFonts w:ascii="微软雅黑" w:hAnsi="微软雅黑" w:eastAsia="微软雅黑" w:cs="微软雅黑"/>
          <w:color w:val="333333"/>
          <w:kern w:val="0"/>
          <w:sz w:val="30"/>
          <w:szCs w:val="30"/>
          <w:shd w:val="clear" w:color="auto" w:fill="FFFFFF"/>
        </w:rPr>
      </w:pPr>
      <w:r>
        <w:rPr>
          <w:rFonts w:hint="eastAsia" w:ascii="微软雅黑" w:hAnsi="微软雅黑" w:eastAsia="微软雅黑" w:cs="微软雅黑"/>
          <w:color w:val="333333"/>
          <w:kern w:val="0"/>
          <w:sz w:val="30"/>
          <w:szCs w:val="30"/>
          <w:shd w:val="clear" w:color="auto" w:fill="FFFFFF"/>
        </w:rPr>
        <w:t>六、</w:t>
      </w:r>
      <w:r>
        <w:rPr>
          <w:rFonts w:hint="eastAsia" w:ascii="Times New Roman" w:hAnsi="Times New Roman" w:eastAsia="黑体" w:cs="Times New Roman"/>
          <w:sz w:val="32"/>
          <w:szCs w:val="22"/>
          <w:shd w:val="clear" w:color="auto" w:fill="FFFFFF"/>
        </w:rPr>
        <w:t>关于三亚市中医院2022年收支预算情况的总体说明</w:t>
      </w:r>
    </w:p>
    <w:p>
      <w:pPr>
        <w:pStyle w:val="8"/>
        <w:spacing w:line="500" w:lineRule="exact"/>
        <w:ind w:firstLine="640"/>
        <w:rPr>
          <w:rFonts w:ascii="微软雅黑" w:hAnsi="微软雅黑" w:eastAsia="微软雅黑" w:cs="微软雅黑"/>
          <w:color w:val="333333"/>
          <w:kern w:val="0"/>
          <w:sz w:val="30"/>
          <w:szCs w:val="30"/>
          <w:shd w:val="clear" w:color="auto" w:fill="FFFFFF"/>
        </w:rPr>
      </w:pPr>
      <w:r>
        <w:rPr>
          <w:rFonts w:hint="eastAsia" w:ascii="Times New Roman" w:hAnsi="Times New Roman" w:eastAsia="仿宋_GB2312" w:cs="Times New Roman"/>
          <w:sz w:val="32"/>
          <w:szCs w:val="32"/>
        </w:rPr>
        <w:t>按照综合预算原则，三亚市中医院所有收入和支出均纳入部门预算管理。收入包括：一般公共预算收入、事业收入、其他收入</w:t>
      </w:r>
      <w:r>
        <w:rPr>
          <w:rFonts w:hint="eastAsia" w:ascii="Times New Roman" w:hAnsi="Times New Roman" w:eastAsia="仿宋_GB2312" w:cs="Times New Roman"/>
          <w:sz w:val="32"/>
          <w:szCs w:val="32"/>
          <w:lang w:eastAsia="zh-CN"/>
        </w:rPr>
        <w:t>、上年结转</w:t>
      </w:r>
      <w:r>
        <w:rPr>
          <w:rFonts w:hint="eastAsia" w:ascii="Times New Roman" w:hAnsi="Times New Roman" w:eastAsia="仿宋_GB2312" w:cs="Times New Roman"/>
          <w:sz w:val="32"/>
          <w:szCs w:val="32"/>
        </w:rPr>
        <w:t>；支出包括：社会保障和就业支出</w:t>
      </w:r>
      <w:r>
        <w:rPr>
          <w:rFonts w:hint="eastAsia" w:ascii="Times New Roman" w:hAnsi="Times New Roman" w:eastAsia="仿宋_GB2312" w:cs="Times New Roman"/>
          <w:sz w:val="32"/>
          <w:szCs w:val="32"/>
          <w:lang w:eastAsia="zh-CN"/>
        </w:rPr>
        <w:t>、卫生健康支出、住房保障支出、其他支出</w:t>
      </w:r>
      <w:r>
        <w:rPr>
          <w:rFonts w:hint="eastAsia" w:ascii="Times New Roman" w:hAnsi="Times New Roman" w:eastAsia="仿宋_GB2312" w:cs="Times New Roman"/>
          <w:sz w:val="32"/>
          <w:szCs w:val="32"/>
        </w:rPr>
        <w:t>。三亚市中医院2022年收支总预算43772.19万元。</w:t>
      </w:r>
    </w:p>
    <w:p>
      <w:pPr>
        <w:pStyle w:val="8"/>
        <w:spacing w:line="500" w:lineRule="exact"/>
        <w:ind w:firstLine="600"/>
        <w:jc w:val="left"/>
        <w:rPr>
          <w:rFonts w:ascii="微软雅黑" w:hAnsi="微软雅黑" w:eastAsia="微软雅黑" w:cs="微软雅黑"/>
          <w:color w:val="333333"/>
          <w:kern w:val="0"/>
          <w:sz w:val="30"/>
          <w:szCs w:val="30"/>
          <w:shd w:val="clear" w:color="auto" w:fill="FFFFFF"/>
        </w:rPr>
      </w:pPr>
      <w:r>
        <w:rPr>
          <w:rFonts w:hint="eastAsia" w:ascii="微软雅黑" w:hAnsi="微软雅黑" w:eastAsia="微软雅黑" w:cs="微软雅黑"/>
          <w:color w:val="333333"/>
          <w:kern w:val="0"/>
          <w:sz w:val="30"/>
          <w:szCs w:val="30"/>
          <w:shd w:val="clear" w:color="auto" w:fill="FFFFFF"/>
        </w:rPr>
        <w:t>七、</w:t>
      </w:r>
      <w:r>
        <w:rPr>
          <w:rFonts w:hint="eastAsia" w:ascii="Times New Roman" w:hAnsi="Times New Roman" w:eastAsia="黑体" w:cs="Times New Roman"/>
          <w:sz w:val="32"/>
          <w:szCs w:val="22"/>
          <w:shd w:val="clear" w:color="auto" w:fill="FFFFFF"/>
        </w:rPr>
        <w:t>关于三亚市中医院2022年收入预算情况说明</w:t>
      </w:r>
    </w:p>
    <w:p>
      <w:pPr>
        <w:pStyle w:val="8"/>
        <w:spacing w:line="5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中医院2022年收入预算43772.19万元，其中上年结转结余14078.95万元，占32.16%；财政补助收入4737.88万元，占10.82%;事业收入24719.86万元，占56.47%；其他收入235.50万元，占0.55%。比上年预算数增加15760.84万元。主要是事业收入增加2719.86万元，财政补助收入减少了348.39万元，社会保障和就业支出增加了101.61万元，卫生健康支出增加了500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zCs w:val="22"/>
          <w:shd w:val="clear" w:color="auto" w:fill="FFFFFF"/>
        </w:rPr>
        <w:t>八、</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hd w:val="clear" w:color="auto" w:fill="FFFFFF"/>
        </w:rPr>
        <w:t>三亚市中医院2022</w:t>
      </w:r>
      <w:r>
        <w:rPr>
          <w:rFonts w:ascii="Times New Roman" w:hAnsi="Times New Roman" w:eastAsia="黑体" w:cs="Times New Roman"/>
          <w:sz w:val="32"/>
          <w:shd w:val="clear" w:color="auto" w:fill="FFFFFF"/>
        </w:rPr>
        <w:t>年支出预算情况说明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三亚市中医院2022</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42640.34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31747.6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74.45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10892.74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25.55</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17696.42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基本支出比上年预算增加11889.95万元；项目支出比上年预算减少5806.47万元</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hint="default" w:ascii="Times New Roman" w:hAnsi="Times New Roman" w:eastAsia="楷体" w:cs="Times New Roman"/>
          <w:color w:val="auto"/>
          <w:sz w:val="32"/>
          <w:szCs w:val="32"/>
          <w:lang w:val="en-US" w:eastAsia="zh-CN"/>
        </w:rPr>
      </w:pPr>
      <w:r>
        <w:rPr>
          <w:rFonts w:hint="eastAsia" w:ascii="Times New Roman" w:hAnsi="Times New Roman" w:eastAsia="楷体_GB2312" w:cs="Times New Roman"/>
          <w:color w:val="auto"/>
          <w:sz w:val="32"/>
          <w:szCs w:val="32"/>
          <w:lang w:val="en-US" w:eastAsia="zh-CN"/>
        </w:rPr>
        <w:t>2022年</w:t>
      </w:r>
      <w:r>
        <w:rPr>
          <w:rFonts w:hint="eastAsia" w:ascii="Times New Roman" w:hAnsi="Times New Roman" w:eastAsia="仿宋_GB2312" w:cs="Times New Roman"/>
          <w:color w:val="auto"/>
          <w:sz w:val="32"/>
          <w:szCs w:val="32"/>
        </w:rPr>
        <w:t>三亚市中医院</w:t>
      </w:r>
      <w:r>
        <w:rPr>
          <w:rFonts w:hint="eastAsia" w:ascii="Times New Roman" w:hAnsi="Times New Roman" w:eastAsia="楷体_GB2312" w:cs="Times New Roman"/>
          <w:color w:val="auto"/>
          <w:sz w:val="32"/>
          <w:szCs w:val="32"/>
          <w:lang w:val="en-US" w:eastAsia="zh-CN"/>
        </w:rPr>
        <w:t>机关运行经费预算0万元。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三亚市中医院</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1400</w:t>
      </w:r>
      <w:r>
        <w:rPr>
          <w:rFonts w:ascii="Times New Roman" w:hAnsi="Times New Roman" w:eastAsia="仿宋_GB2312" w:cs="Times New Roman"/>
          <w:sz w:val="32"/>
          <w:szCs w:val="32"/>
        </w:rPr>
        <w:t>万元，其中：政府采购</w:t>
      </w:r>
      <w:r>
        <w:rPr>
          <w:rFonts w:hint="eastAsia" w:ascii="Times New Roman" w:hAnsi="Times New Roman" w:eastAsia="仿宋_GB2312" w:cs="Times New Roman"/>
          <w:sz w:val="32"/>
          <w:szCs w:val="32"/>
        </w:rPr>
        <w:t>设备</w:t>
      </w:r>
      <w:r>
        <w:rPr>
          <w:rFonts w:ascii="Times New Roman" w:hAnsi="Times New Roman" w:eastAsia="仿宋_GB2312" w:cs="Times New Roman"/>
          <w:sz w:val="32"/>
          <w:szCs w:val="32"/>
        </w:rPr>
        <w:t>预算</w:t>
      </w:r>
      <w:r>
        <w:rPr>
          <w:rFonts w:hint="eastAsia" w:ascii="Times New Roman" w:hAnsi="Times New Roman" w:eastAsia="仿宋_GB2312" w:cs="Times New Roman"/>
          <w:sz w:val="32"/>
          <w:szCs w:val="32"/>
        </w:rPr>
        <w:t>1400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年12月31日，</w:t>
      </w:r>
      <w:r>
        <w:rPr>
          <w:rFonts w:hint="eastAsia" w:ascii="Times New Roman" w:hAnsi="Times New Roman" w:eastAsia="仿宋_GB2312" w:cs="Times New Roman"/>
          <w:sz w:val="32"/>
          <w:szCs w:val="32"/>
        </w:rPr>
        <w:t>三亚市中医院</w:t>
      </w:r>
      <w:r>
        <w:rPr>
          <w:rFonts w:ascii="Times New Roman" w:hAnsi="Times New Roman" w:eastAsia="仿宋_GB2312" w:cs="Times New Roman"/>
          <w:sz w:val="32"/>
          <w:szCs w:val="32"/>
        </w:rPr>
        <w:t>共有车辆</w:t>
      </w:r>
      <w:r>
        <w:rPr>
          <w:rFonts w:hint="eastAsia" w:ascii="Times New Roman" w:hAnsi="Times New Roman" w:eastAsia="仿宋_GB2312" w:cs="Times New Roman"/>
          <w:sz w:val="32"/>
          <w:szCs w:val="32"/>
        </w:rPr>
        <w:t>17</w:t>
      </w:r>
      <w:r>
        <w:rPr>
          <w:rFonts w:ascii="Times New Roman" w:hAnsi="Times New Roman" w:eastAsia="仿宋_GB2312" w:cs="Times New Roman"/>
          <w:sz w:val="32"/>
          <w:szCs w:val="32"/>
        </w:rPr>
        <w:t>辆，其中</w:t>
      </w:r>
      <w:r>
        <w:rPr>
          <w:rFonts w:hint="eastAsia" w:ascii="Times New Roman" w:hAnsi="Times New Roman" w:eastAsia="仿宋_GB2312" w:cs="Times New Roman"/>
          <w:sz w:val="32"/>
          <w:szCs w:val="32"/>
        </w:rPr>
        <w:t>特种专业技术用车1</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应急保障用车11</w:t>
      </w:r>
      <w:r>
        <w:rPr>
          <w:rFonts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rPr>
        <w:t>单价50万元（含）以上的通用设备（台、套…）15台，单价100万元（含）以上的专用设备（台、套…）45台</w:t>
      </w:r>
      <w:r>
        <w:rPr>
          <w:rFonts w:ascii="Times New Roman" w:hAnsi="Times New Roman" w:eastAsia="仿宋_GB2312" w:cs="Times New Roman"/>
          <w:sz w:val="32"/>
          <w:szCs w:val="32"/>
        </w:rPr>
        <w:t>。</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三亚市中医院</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36485.48</w:t>
      </w:r>
      <w:r>
        <w:rPr>
          <w:rFonts w:ascii="Times New Roman" w:hAnsi="Times New Roman" w:eastAsia="仿宋_GB2312" w:cs="Times New Roman"/>
          <w:sz w:val="32"/>
          <w:szCs w:val="32"/>
        </w:rPr>
        <w:t>万元。</w:t>
      </w:r>
    </w:p>
    <w:p>
      <w:pPr>
        <w:pStyle w:val="8"/>
        <w:spacing w:line="500" w:lineRule="exact"/>
        <w:ind w:firstLine="640"/>
        <w:jc w:val="left"/>
        <w:rPr>
          <w:rFonts w:ascii="Times New Roman" w:hAnsi="Times New Roman" w:eastAsia="仿宋_GB2312" w:cs="Times New Roman"/>
          <w:sz w:val="32"/>
          <w:szCs w:val="32"/>
        </w:rPr>
      </w:pPr>
    </w:p>
    <w:p>
      <w:pPr>
        <w:spacing w:line="500" w:lineRule="exact"/>
        <w:jc w:val="center"/>
        <w:rPr>
          <w:rFonts w:ascii="黑体" w:hAnsi="黑体" w:eastAsia="黑体"/>
          <w:b/>
          <w:sz w:val="32"/>
          <w:szCs w:val="32"/>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Style w:val="8"/>
        <w:spacing w:line="500" w:lineRule="exact"/>
        <w:ind w:firstLine="1040"/>
        <w:jc w:val="left"/>
        <w:rPr>
          <w:rFonts w:asciiTheme="majorEastAsia" w:hAnsiTheme="majorEastAsia" w:eastAsiaTheme="majorEastAsia" w:cstheme="majorEastAsia"/>
          <w:sz w:val="52"/>
          <w:szCs w:val="5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A0000287" w:usb1="28C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DE36CF"/>
    <w:multiLevelType w:val="singleLevel"/>
    <w:tmpl w:val="9DDE36CF"/>
    <w:lvl w:ilvl="0" w:tentative="0">
      <w:start w:val="2"/>
      <w:numFmt w:val="chineseCounting"/>
      <w:suff w:val="space"/>
      <w:lvlText w:val="第%1部分"/>
      <w:lvlJc w:val="left"/>
      <w:rPr>
        <w:rFonts w:hint="eastAsia"/>
      </w:rPr>
    </w:lvl>
  </w:abstractNum>
  <w:abstractNum w:abstractNumId="1">
    <w:nsid w:val="B6E32E5B"/>
    <w:multiLevelType w:val="singleLevel"/>
    <w:tmpl w:val="B6E32E5B"/>
    <w:lvl w:ilvl="0" w:tentative="0">
      <w:start w:val="4"/>
      <w:numFmt w:val="chineseCounting"/>
      <w:suff w:val="nothing"/>
      <w:lvlText w:val="%1、"/>
      <w:lvlJc w:val="left"/>
      <w:rPr>
        <w:rFonts w:hint="eastAsia"/>
      </w:rPr>
    </w:lvl>
  </w:abstractNum>
  <w:abstractNum w:abstractNumId="2">
    <w:nsid w:val="C0322F7B"/>
    <w:multiLevelType w:val="singleLevel"/>
    <w:tmpl w:val="C0322F7B"/>
    <w:lvl w:ilvl="0" w:tentative="0">
      <w:start w:val="1"/>
      <w:numFmt w:val="chineseCounting"/>
      <w:suff w:val="nothing"/>
      <w:lvlText w:val="%1、"/>
      <w:lvlJc w:val="left"/>
      <w:rPr>
        <w:rFonts w:hint="eastAsia"/>
      </w:rPr>
    </w:lvl>
  </w:abstractNum>
  <w:abstractNum w:abstractNumId="3">
    <w:nsid w:val="05832B87"/>
    <w:multiLevelType w:val="multilevel"/>
    <w:tmpl w:val="05832B87"/>
    <w:lvl w:ilvl="0" w:tentative="0">
      <w:start w:val="1"/>
      <w:numFmt w:val="chineseCountingThousand"/>
      <w:lvlText w:val="第%1部分"/>
      <w:lvlJc w:val="left"/>
      <w:pPr>
        <w:ind w:left="174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6AA781"/>
    <w:multiLevelType w:val="singleLevel"/>
    <w:tmpl w:val="216AA781"/>
    <w:lvl w:ilvl="0" w:tentative="0">
      <w:start w:val="3"/>
      <w:numFmt w:val="chineseCounting"/>
      <w:suff w:val="nothing"/>
      <w:lvlText w:val="（%1）"/>
      <w:lvlJc w:val="left"/>
      <w:rPr>
        <w:rFonts w:hint="eastAsia"/>
      </w:rPr>
    </w:lvl>
  </w:abstractNum>
  <w:abstractNum w:abstractNumId="5">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6"/>
  </w:num>
  <w:num w:numId="3">
    <w:abstractNumId w:val="7"/>
  </w:num>
  <w:num w:numId="4">
    <w:abstractNumId w:val="5"/>
  </w:num>
  <w:num w:numId="5">
    <w:abstractNumId w:val="0"/>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D39D0"/>
    <w:rsid w:val="0000716F"/>
    <w:rsid w:val="00143664"/>
    <w:rsid w:val="0017255E"/>
    <w:rsid w:val="00273598"/>
    <w:rsid w:val="003419B2"/>
    <w:rsid w:val="003863B2"/>
    <w:rsid w:val="003A1FCB"/>
    <w:rsid w:val="003F76FF"/>
    <w:rsid w:val="00417FF1"/>
    <w:rsid w:val="00431926"/>
    <w:rsid w:val="00463FC7"/>
    <w:rsid w:val="004A1367"/>
    <w:rsid w:val="004D39D0"/>
    <w:rsid w:val="00595D86"/>
    <w:rsid w:val="005C4C33"/>
    <w:rsid w:val="005E2A67"/>
    <w:rsid w:val="00685FF9"/>
    <w:rsid w:val="007A1C60"/>
    <w:rsid w:val="007E3261"/>
    <w:rsid w:val="008057F8"/>
    <w:rsid w:val="00815943"/>
    <w:rsid w:val="0083516E"/>
    <w:rsid w:val="008E14C8"/>
    <w:rsid w:val="008E34C1"/>
    <w:rsid w:val="008F5B37"/>
    <w:rsid w:val="00971910"/>
    <w:rsid w:val="009C7383"/>
    <w:rsid w:val="009D2306"/>
    <w:rsid w:val="00A03EA0"/>
    <w:rsid w:val="00A24E8B"/>
    <w:rsid w:val="00A7694A"/>
    <w:rsid w:val="00A84FC7"/>
    <w:rsid w:val="00AA61F3"/>
    <w:rsid w:val="00AC0130"/>
    <w:rsid w:val="00AD5B5B"/>
    <w:rsid w:val="00B509EF"/>
    <w:rsid w:val="00BA5C06"/>
    <w:rsid w:val="00BF1FE2"/>
    <w:rsid w:val="00C92DDA"/>
    <w:rsid w:val="00CE1DE5"/>
    <w:rsid w:val="00D02E0C"/>
    <w:rsid w:val="00D213C4"/>
    <w:rsid w:val="00D80D17"/>
    <w:rsid w:val="00D81563"/>
    <w:rsid w:val="00DA4D04"/>
    <w:rsid w:val="00DC4F5A"/>
    <w:rsid w:val="00DC78FC"/>
    <w:rsid w:val="00DD2A3A"/>
    <w:rsid w:val="00EE4EEC"/>
    <w:rsid w:val="00F21342"/>
    <w:rsid w:val="00F90D56"/>
    <w:rsid w:val="0198761C"/>
    <w:rsid w:val="037408DC"/>
    <w:rsid w:val="06C60653"/>
    <w:rsid w:val="07CD060B"/>
    <w:rsid w:val="0B0A4AB2"/>
    <w:rsid w:val="0B2549E4"/>
    <w:rsid w:val="0D1E00EF"/>
    <w:rsid w:val="0D9C6599"/>
    <w:rsid w:val="10645BB0"/>
    <w:rsid w:val="1203212D"/>
    <w:rsid w:val="14660012"/>
    <w:rsid w:val="15DC4B89"/>
    <w:rsid w:val="16177B96"/>
    <w:rsid w:val="16894D59"/>
    <w:rsid w:val="17B713BE"/>
    <w:rsid w:val="18062F21"/>
    <w:rsid w:val="18E32D2C"/>
    <w:rsid w:val="18F4382B"/>
    <w:rsid w:val="1B1E227A"/>
    <w:rsid w:val="1B7D0913"/>
    <w:rsid w:val="1C453935"/>
    <w:rsid w:val="1EEE4222"/>
    <w:rsid w:val="1F2E6AF8"/>
    <w:rsid w:val="21142333"/>
    <w:rsid w:val="22C952F3"/>
    <w:rsid w:val="23D058B6"/>
    <w:rsid w:val="25CC5CB9"/>
    <w:rsid w:val="271C6563"/>
    <w:rsid w:val="276C7956"/>
    <w:rsid w:val="280027C7"/>
    <w:rsid w:val="29EE5C8A"/>
    <w:rsid w:val="29F11C4B"/>
    <w:rsid w:val="2A89343F"/>
    <w:rsid w:val="2B5521D3"/>
    <w:rsid w:val="2DFC6BEF"/>
    <w:rsid w:val="31E0405A"/>
    <w:rsid w:val="324066EA"/>
    <w:rsid w:val="33EC3721"/>
    <w:rsid w:val="340A0076"/>
    <w:rsid w:val="347516A9"/>
    <w:rsid w:val="34BA4EF5"/>
    <w:rsid w:val="35B10B25"/>
    <w:rsid w:val="35C47268"/>
    <w:rsid w:val="35EF2F28"/>
    <w:rsid w:val="383D01EF"/>
    <w:rsid w:val="387739CB"/>
    <w:rsid w:val="39717E35"/>
    <w:rsid w:val="3A6D76F7"/>
    <w:rsid w:val="3C976232"/>
    <w:rsid w:val="41521A01"/>
    <w:rsid w:val="438B6918"/>
    <w:rsid w:val="43E87A09"/>
    <w:rsid w:val="449D1AE1"/>
    <w:rsid w:val="49594FD8"/>
    <w:rsid w:val="4A5433C4"/>
    <w:rsid w:val="4DCC6F7A"/>
    <w:rsid w:val="4F3C12D5"/>
    <w:rsid w:val="4F9B1B72"/>
    <w:rsid w:val="50B75E46"/>
    <w:rsid w:val="50C83FDF"/>
    <w:rsid w:val="564D1B54"/>
    <w:rsid w:val="571F0777"/>
    <w:rsid w:val="58971AEB"/>
    <w:rsid w:val="5AA42073"/>
    <w:rsid w:val="5D3311AA"/>
    <w:rsid w:val="61FE158C"/>
    <w:rsid w:val="658230BA"/>
    <w:rsid w:val="65B90CE0"/>
    <w:rsid w:val="67031F75"/>
    <w:rsid w:val="68363FA8"/>
    <w:rsid w:val="6B3E5199"/>
    <w:rsid w:val="6B62394F"/>
    <w:rsid w:val="6CC31AB9"/>
    <w:rsid w:val="6E9674D2"/>
    <w:rsid w:val="711A4829"/>
    <w:rsid w:val="73DF9450"/>
    <w:rsid w:val="76ACDBAA"/>
    <w:rsid w:val="78855594"/>
    <w:rsid w:val="78C47CD9"/>
    <w:rsid w:val="79AB1990"/>
    <w:rsid w:val="79EB2C51"/>
    <w:rsid w:val="7BF20F80"/>
    <w:rsid w:val="7C8E590B"/>
    <w:rsid w:val="7D464CB9"/>
    <w:rsid w:val="7D8F5DD5"/>
    <w:rsid w:val="7ED372E9"/>
    <w:rsid w:val="7EEC153A"/>
    <w:rsid w:val="7F7B5C3E"/>
    <w:rsid w:val="7FB46D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customStyle="1" w:styleId="8">
    <w:name w:val="列出段落1"/>
    <w:basedOn w:val="1"/>
    <w:qFormat/>
    <w:uiPriority w:val="34"/>
    <w:pPr>
      <w:ind w:firstLine="420" w:firstLineChars="200"/>
    </w:p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720</Words>
  <Characters>4104</Characters>
  <Lines>34</Lines>
  <Paragraphs>9</Paragraphs>
  <TotalTime>0</TotalTime>
  <ScaleCrop>false</ScaleCrop>
  <LinksUpToDate>false</LinksUpToDate>
  <CharactersWithSpaces>4815</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2021-03-02T18:58:00Z</dcterms:created>
  <dc:creator>Administrator</dc:creator>
  <cp:lastModifiedBy>user</cp:lastModifiedBy>
  <dcterms:modified xsi:type="dcterms:W3CDTF">2024-11-20T18:21:58Z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5D2FFEBCDC75492C8D9182EA2B19B802</vt:lpwstr>
  </property>
</Properties>
</file>