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cs="Times New Roman"/>
          <w:sz w:val="84"/>
          <w:szCs w:val="84"/>
          <w:u w:val="single"/>
        </w:rPr>
      </w:pPr>
    </w:p>
    <w:p>
      <w:pPr>
        <w:rPr>
          <w:rFonts w:hint="default" w:ascii="Times New Roman" w:hAnsi="Times New Roman" w:cs="Times New Roman"/>
          <w:sz w:val="84"/>
          <w:szCs w:val="84"/>
          <w:u w:val="single"/>
        </w:rPr>
      </w:pPr>
    </w:p>
    <w:p>
      <w:pPr>
        <w:rPr>
          <w:rFonts w:hint="default" w:ascii="Times New Roman" w:hAnsi="Times New Roman" w:cs="Times New Roman"/>
          <w:sz w:val="84"/>
          <w:szCs w:val="84"/>
          <w:u w:val="single"/>
        </w:rPr>
      </w:pPr>
    </w:p>
    <w:p>
      <w:pPr>
        <w:rPr>
          <w:rFonts w:hint="default" w:ascii="Times New Roman" w:hAnsi="Times New Roman" w:cs="Times New Roman"/>
          <w:sz w:val="84"/>
          <w:szCs w:val="84"/>
          <w:u w:val="single"/>
        </w:rPr>
      </w:pPr>
    </w:p>
    <w:p>
      <w:pPr>
        <w:jc w:val="center"/>
        <w:rPr>
          <w:rFonts w:hint="default" w:ascii="Times New Roman" w:hAnsi="Times New Roman" w:eastAsia="方正小标宋简体" w:cs="Times New Roman"/>
          <w:sz w:val="52"/>
          <w:szCs w:val="52"/>
          <w:lang w:val="en-US" w:eastAsia="zh-CN"/>
        </w:rPr>
      </w:pPr>
      <w:r>
        <w:rPr>
          <w:rFonts w:hint="default" w:ascii="Times New Roman" w:hAnsi="Times New Roman" w:eastAsia="方正小标宋简体" w:cs="Times New Roman"/>
          <w:sz w:val="52"/>
          <w:szCs w:val="52"/>
          <w:lang w:val="en-US" w:eastAsia="zh-CN"/>
        </w:rPr>
        <w:t>2022</w:t>
      </w:r>
      <w:r>
        <w:rPr>
          <w:rFonts w:hint="default" w:ascii="Times New Roman" w:hAnsi="Times New Roman" w:eastAsia="方正小标宋简体" w:cs="Times New Roman"/>
          <w:sz w:val="52"/>
          <w:szCs w:val="52"/>
        </w:rPr>
        <w:t>年</w:t>
      </w:r>
      <w:r>
        <w:rPr>
          <w:rFonts w:hint="default" w:ascii="Times New Roman" w:hAnsi="Times New Roman" w:eastAsia="方正小标宋简体" w:cs="Times New Roman"/>
          <w:sz w:val="52"/>
          <w:szCs w:val="52"/>
          <w:lang w:val="en-US" w:eastAsia="zh-CN"/>
        </w:rPr>
        <w:t>三亚市退役军人服务中心</w:t>
      </w:r>
    </w:p>
    <w:p>
      <w:pPr>
        <w:jc w:val="center"/>
        <w:rPr>
          <w:rFonts w:hint="default" w:ascii="Times New Roman" w:hAnsi="Times New Roman" w:eastAsia="方正小标宋简体" w:cs="Times New Roman"/>
          <w:sz w:val="52"/>
          <w:szCs w:val="52"/>
          <w:lang w:eastAsia="zh-CN"/>
        </w:rPr>
      </w:pPr>
      <w:r>
        <w:rPr>
          <w:rFonts w:hint="default" w:ascii="Times New Roman" w:hAnsi="Times New Roman" w:eastAsia="方正小标宋简体" w:cs="Times New Roman"/>
          <w:sz w:val="52"/>
          <w:szCs w:val="52"/>
        </w:rPr>
        <w:t>预算</w:t>
      </w:r>
    </w:p>
    <w:p>
      <w:pPr>
        <w:ind w:firstLine="1680"/>
        <w:jc w:val="center"/>
        <w:rPr>
          <w:rFonts w:hint="default" w:ascii="Times New Roman" w:hAnsi="Times New Roman" w:cs="Times New Roman"/>
          <w:sz w:val="84"/>
          <w:szCs w:val="84"/>
        </w:rPr>
      </w:pPr>
    </w:p>
    <w:p>
      <w:pPr>
        <w:ind w:firstLine="1680"/>
        <w:jc w:val="center"/>
        <w:rPr>
          <w:rFonts w:hint="default" w:ascii="Times New Roman" w:hAnsi="Times New Roman" w:cs="Times New Roman"/>
          <w:sz w:val="84"/>
          <w:szCs w:val="84"/>
        </w:rPr>
      </w:pPr>
    </w:p>
    <w:p>
      <w:pPr>
        <w:ind w:firstLine="1680"/>
        <w:jc w:val="center"/>
        <w:rPr>
          <w:rFonts w:hint="default" w:ascii="Times New Roman" w:hAnsi="Times New Roman" w:cs="Times New Roman"/>
          <w:sz w:val="84"/>
          <w:szCs w:val="84"/>
        </w:rPr>
      </w:pPr>
    </w:p>
    <w:p>
      <w:pPr>
        <w:ind w:firstLine="1680"/>
        <w:jc w:val="center"/>
        <w:rPr>
          <w:rFonts w:hint="default" w:ascii="Times New Roman" w:hAnsi="Times New Roman" w:cs="Times New Roman"/>
          <w:sz w:val="84"/>
          <w:szCs w:val="84"/>
        </w:rPr>
      </w:pPr>
    </w:p>
    <w:p>
      <w:pPr>
        <w:ind w:firstLine="1680"/>
        <w:jc w:val="center"/>
        <w:rPr>
          <w:rFonts w:hint="default" w:ascii="Times New Roman" w:hAnsi="Times New Roman" w:cs="Times New Roman"/>
          <w:sz w:val="84"/>
          <w:szCs w:val="84"/>
        </w:rPr>
      </w:pPr>
    </w:p>
    <w:p>
      <w:pPr>
        <w:jc w:val="center"/>
        <w:rPr>
          <w:rFonts w:hint="default" w:ascii="Times New Roman" w:hAnsi="Times New Roman" w:eastAsia="黑体" w:cs="Times New Roman"/>
          <w:sz w:val="52"/>
          <w:szCs w:val="52"/>
        </w:rPr>
      </w:pP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default" w:ascii="Times New Roman" w:hAnsi="Times New Roman" w:eastAsia="方正黑体_GBK" w:cs="Times New Roman"/>
          <w:sz w:val="52"/>
          <w:szCs w:val="52"/>
        </w:rPr>
      </w:pPr>
      <w:r>
        <w:rPr>
          <w:rFonts w:hint="default" w:ascii="Times New Roman" w:hAnsi="Times New Roman" w:eastAsia="方正黑体_GBK" w:cs="Times New Roman"/>
          <w:sz w:val="52"/>
          <w:szCs w:val="52"/>
        </w:rPr>
        <w:t>目录</w:t>
      </w:r>
    </w:p>
    <w:p>
      <w:pPr>
        <w:pStyle w:val="5"/>
        <w:keepNext w:val="0"/>
        <w:keepLines w:val="0"/>
        <w:pageBreakBefore w:val="0"/>
        <w:widowControl w:val="0"/>
        <w:numPr>
          <w:ilvl w:val="0"/>
          <w:numId w:val="0"/>
        </w:numPr>
        <w:kinsoku/>
        <w:wordWrap/>
        <w:overflowPunct/>
        <w:topLinePunct w:val="0"/>
        <w:autoSpaceDE/>
        <w:autoSpaceDN/>
        <w:bidi w:val="0"/>
        <w:adjustRightInd/>
        <w:snapToGrid/>
        <w:spacing w:line="578" w:lineRule="exact"/>
        <w:ind w:leftChars="0" w:firstLine="640" w:firstLineChars="200"/>
        <w:jc w:val="left"/>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lang w:val="en-US" w:eastAsia="zh-CN"/>
        </w:rPr>
        <w:t>第一部分</w:t>
      </w:r>
      <w:r>
        <w:rPr>
          <w:rFonts w:hint="default" w:ascii="Times New Roman" w:hAnsi="Times New Roman" w:eastAsia="方正黑体_GBK" w:cs="Times New Roman"/>
          <w:sz w:val="32"/>
          <w:szCs w:val="32"/>
        </w:rPr>
        <w:t xml:space="preserve"> </w:t>
      </w:r>
      <w:r>
        <w:rPr>
          <w:rFonts w:hint="default" w:ascii="Times New Roman" w:hAnsi="Times New Roman" w:eastAsia="方正黑体_GBK" w:cs="Times New Roman"/>
          <w:sz w:val="32"/>
          <w:szCs w:val="32"/>
          <w:lang w:val="en-US" w:eastAsia="zh-CN"/>
        </w:rPr>
        <w:t>三亚市退役军人服务中心</w:t>
      </w:r>
      <w:r>
        <w:rPr>
          <w:rFonts w:hint="default" w:ascii="Times New Roman" w:hAnsi="Times New Roman" w:eastAsia="方正黑体_GBK" w:cs="Times New Roman"/>
          <w:sz w:val="32"/>
          <w:szCs w:val="32"/>
        </w:rPr>
        <w:t>概况</w:t>
      </w:r>
    </w:p>
    <w:p>
      <w:pPr>
        <w:pStyle w:val="5"/>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jc w:val="left"/>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lang w:eastAsia="zh-CN"/>
        </w:rPr>
        <w:t>一、</w:t>
      </w:r>
      <w:r>
        <w:rPr>
          <w:rFonts w:hint="default" w:ascii="Times New Roman" w:hAnsi="Times New Roman" w:eastAsia="方正黑体_GBK" w:cs="Times New Roman"/>
          <w:sz w:val="32"/>
          <w:szCs w:val="32"/>
        </w:rPr>
        <w:t>主要职能</w:t>
      </w:r>
    </w:p>
    <w:p>
      <w:pPr>
        <w:pStyle w:val="5"/>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jc w:val="left"/>
        <w:textAlignment w:val="auto"/>
        <w:rPr>
          <w:rFonts w:hint="eastAsia" w:ascii="Times New Roman" w:hAnsi="Times New Roman" w:eastAsia="方正黑体_GBK" w:cs="Times New Roman"/>
          <w:sz w:val="32"/>
          <w:szCs w:val="32"/>
          <w:lang w:eastAsia="zh-CN"/>
        </w:rPr>
      </w:pPr>
      <w:r>
        <w:rPr>
          <w:rFonts w:hint="eastAsia" w:ascii="Times New Roman" w:hAnsi="Times New Roman" w:eastAsia="方正黑体_GBK" w:cs="Times New Roman"/>
          <w:sz w:val="32"/>
          <w:szCs w:val="32"/>
          <w:lang w:eastAsia="zh-CN"/>
        </w:rPr>
        <w:t>二、机构设置</w:t>
      </w:r>
      <w:bookmarkStart w:id="5" w:name="_GoBack"/>
      <w:bookmarkEnd w:id="5"/>
    </w:p>
    <w:p>
      <w:pPr>
        <w:pStyle w:val="5"/>
        <w:keepNext w:val="0"/>
        <w:keepLines w:val="0"/>
        <w:pageBreakBefore w:val="0"/>
        <w:widowControl w:val="0"/>
        <w:numPr>
          <w:ilvl w:val="0"/>
          <w:numId w:val="0"/>
        </w:numPr>
        <w:kinsoku/>
        <w:wordWrap/>
        <w:overflowPunct/>
        <w:topLinePunct w:val="0"/>
        <w:autoSpaceDE/>
        <w:autoSpaceDN/>
        <w:bidi w:val="0"/>
        <w:adjustRightInd/>
        <w:snapToGrid/>
        <w:spacing w:line="578" w:lineRule="exact"/>
        <w:ind w:leftChars="0"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lang w:val="en-US" w:eastAsia="zh-CN"/>
        </w:rPr>
        <w:t>第二部分</w:t>
      </w:r>
      <w:r>
        <w:rPr>
          <w:rFonts w:hint="default" w:ascii="Times New Roman" w:hAnsi="Times New Roman" w:eastAsia="方正黑体_GBK" w:cs="Times New Roman"/>
          <w:sz w:val="32"/>
          <w:szCs w:val="32"/>
        </w:rPr>
        <w:t xml:space="preserve"> </w:t>
      </w:r>
      <w:r>
        <w:rPr>
          <w:rFonts w:hint="default" w:ascii="Times New Roman" w:hAnsi="Times New Roman" w:eastAsia="方正黑体_GBK" w:cs="Times New Roman"/>
          <w:sz w:val="32"/>
          <w:szCs w:val="32"/>
          <w:lang w:eastAsia="zh-CN"/>
        </w:rPr>
        <w:t>三亚市</w:t>
      </w:r>
      <w:r>
        <w:rPr>
          <w:rFonts w:hint="default" w:ascii="Times New Roman" w:hAnsi="Times New Roman" w:eastAsia="方正黑体_GBK" w:cs="Times New Roman"/>
          <w:sz w:val="32"/>
          <w:szCs w:val="32"/>
          <w:lang w:val="en-US" w:eastAsia="zh-CN"/>
        </w:rPr>
        <w:t>退役军人服务中心2022</w:t>
      </w:r>
      <w:r>
        <w:rPr>
          <w:rFonts w:hint="default" w:ascii="Times New Roman" w:hAnsi="Times New Roman" w:eastAsia="方正黑体_GBK" w:cs="Times New Roman"/>
          <w:sz w:val="32"/>
          <w:szCs w:val="32"/>
        </w:rPr>
        <w:t>年单位预算表</w:t>
      </w:r>
    </w:p>
    <w:p>
      <w:pPr>
        <w:pStyle w:val="5"/>
        <w:keepNext w:val="0"/>
        <w:keepLines w:val="0"/>
        <w:pageBreakBefore w:val="0"/>
        <w:widowControl w:val="0"/>
        <w:numPr>
          <w:ilvl w:val="0"/>
          <w:numId w:val="0"/>
        </w:numPr>
        <w:kinsoku/>
        <w:wordWrap/>
        <w:overflowPunct/>
        <w:topLinePunct w:val="0"/>
        <w:autoSpaceDE/>
        <w:autoSpaceDN/>
        <w:bidi w:val="0"/>
        <w:adjustRightInd/>
        <w:snapToGrid/>
        <w:spacing w:line="578" w:lineRule="exact"/>
        <w:ind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一、</w:t>
      </w:r>
      <w:r>
        <w:rPr>
          <w:rFonts w:hint="default" w:ascii="Times New Roman" w:hAnsi="Times New Roman" w:eastAsia="仿宋_GB2312" w:cs="Times New Roman"/>
          <w:sz w:val="32"/>
          <w:szCs w:val="32"/>
        </w:rPr>
        <w:t>财政拨款收支总表</w:t>
      </w:r>
    </w:p>
    <w:p>
      <w:pPr>
        <w:pStyle w:val="5"/>
        <w:keepNext w:val="0"/>
        <w:keepLines w:val="0"/>
        <w:pageBreakBefore w:val="0"/>
        <w:widowControl w:val="0"/>
        <w:numPr>
          <w:ilvl w:val="0"/>
          <w:numId w:val="0"/>
        </w:numPr>
        <w:kinsoku/>
        <w:wordWrap/>
        <w:overflowPunct/>
        <w:topLinePunct w:val="0"/>
        <w:autoSpaceDE/>
        <w:autoSpaceDN/>
        <w:bidi w:val="0"/>
        <w:adjustRightInd/>
        <w:snapToGrid/>
        <w:spacing w:line="578" w:lineRule="exact"/>
        <w:ind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二、</w:t>
      </w:r>
      <w:r>
        <w:rPr>
          <w:rFonts w:hint="default" w:ascii="Times New Roman" w:hAnsi="Times New Roman" w:eastAsia="仿宋_GB2312" w:cs="Times New Roman"/>
          <w:sz w:val="32"/>
          <w:szCs w:val="32"/>
        </w:rPr>
        <w:t>一般公共预算支出表</w:t>
      </w:r>
    </w:p>
    <w:p>
      <w:pPr>
        <w:pStyle w:val="5"/>
        <w:keepNext w:val="0"/>
        <w:keepLines w:val="0"/>
        <w:pageBreakBefore w:val="0"/>
        <w:widowControl w:val="0"/>
        <w:numPr>
          <w:ilvl w:val="0"/>
          <w:numId w:val="0"/>
        </w:numPr>
        <w:kinsoku/>
        <w:wordWrap/>
        <w:overflowPunct/>
        <w:topLinePunct w:val="0"/>
        <w:autoSpaceDE/>
        <w:autoSpaceDN/>
        <w:bidi w:val="0"/>
        <w:adjustRightInd/>
        <w:snapToGrid/>
        <w:spacing w:line="578" w:lineRule="exact"/>
        <w:ind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三、</w:t>
      </w:r>
      <w:r>
        <w:rPr>
          <w:rFonts w:hint="default" w:ascii="Times New Roman" w:hAnsi="Times New Roman" w:eastAsia="仿宋_GB2312" w:cs="Times New Roman"/>
          <w:sz w:val="32"/>
          <w:szCs w:val="32"/>
        </w:rPr>
        <w:t>一般公共预算基本支出表</w:t>
      </w:r>
    </w:p>
    <w:p>
      <w:pPr>
        <w:pStyle w:val="5"/>
        <w:keepNext w:val="0"/>
        <w:keepLines w:val="0"/>
        <w:pageBreakBefore w:val="0"/>
        <w:widowControl w:val="0"/>
        <w:numPr>
          <w:ilvl w:val="0"/>
          <w:numId w:val="0"/>
        </w:numPr>
        <w:kinsoku/>
        <w:wordWrap/>
        <w:overflowPunct/>
        <w:topLinePunct w:val="0"/>
        <w:autoSpaceDE/>
        <w:autoSpaceDN/>
        <w:bidi w:val="0"/>
        <w:adjustRightInd/>
        <w:snapToGrid/>
        <w:spacing w:line="578" w:lineRule="exact"/>
        <w:ind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四、</w:t>
      </w:r>
      <w:r>
        <w:rPr>
          <w:rFonts w:hint="default" w:ascii="Times New Roman" w:hAnsi="Times New Roman" w:eastAsia="仿宋_GB2312" w:cs="Times New Roman"/>
          <w:sz w:val="32"/>
          <w:szCs w:val="32"/>
        </w:rPr>
        <w:t>一般公共预算“三公”经费支出表</w:t>
      </w:r>
    </w:p>
    <w:p>
      <w:pPr>
        <w:pStyle w:val="5"/>
        <w:keepNext w:val="0"/>
        <w:keepLines w:val="0"/>
        <w:pageBreakBefore w:val="0"/>
        <w:widowControl w:val="0"/>
        <w:numPr>
          <w:ilvl w:val="0"/>
          <w:numId w:val="0"/>
        </w:numPr>
        <w:kinsoku/>
        <w:wordWrap/>
        <w:overflowPunct/>
        <w:topLinePunct w:val="0"/>
        <w:autoSpaceDE/>
        <w:autoSpaceDN/>
        <w:bidi w:val="0"/>
        <w:adjustRightInd/>
        <w:snapToGrid/>
        <w:spacing w:line="578" w:lineRule="exact"/>
        <w:ind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五、</w:t>
      </w:r>
      <w:r>
        <w:rPr>
          <w:rFonts w:hint="default" w:ascii="Times New Roman" w:hAnsi="Times New Roman" w:eastAsia="仿宋_GB2312" w:cs="Times New Roman"/>
          <w:sz w:val="32"/>
          <w:szCs w:val="32"/>
        </w:rPr>
        <w:t>政府性基金预算支出表。</w:t>
      </w:r>
    </w:p>
    <w:p>
      <w:pPr>
        <w:pStyle w:val="5"/>
        <w:keepNext w:val="0"/>
        <w:keepLines w:val="0"/>
        <w:pageBreakBefore w:val="0"/>
        <w:widowControl w:val="0"/>
        <w:numPr>
          <w:ilvl w:val="0"/>
          <w:numId w:val="0"/>
        </w:numPr>
        <w:kinsoku/>
        <w:wordWrap/>
        <w:overflowPunct/>
        <w:topLinePunct w:val="0"/>
        <w:autoSpaceDE/>
        <w:autoSpaceDN/>
        <w:bidi w:val="0"/>
        <w:adjustRightInd/>
        <w:snapToGrid/>
        <w:spacing w:line="578" w:lineRule="exact"/>
        <w:ind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六、</w:t>
      </w:r>
      <w:r>
        <w:rPr>
          <w:rFonts w:hint="default" w:ascii="Times New Roman" w:hAnsi="Times New Roman" w:eastAsia="仿宋_GB2312" w:cs="Times New Roman"/>
          <w:sz w:val="32"/>
          <w:szCs w:val="32"/>
        </w:rPr>
        <w:t>政府性基金预算“三公”经费支出表</w:t>
      </w:r>
    </w:p>
    <w:p>
      <w:pPr>
        <w:pStyle w:val="5"/>
        <w:keepNext w:val="0"/>
        <w:keepLines w:val="0"/>
        <w:pageBreakBefore w:val="0"/>
        <w:widowControl w:val="0"/>
        <w:numPr>
          <w:ilvl w:val="0"/>
          <w:numId w:val="0"/>
        </w:numPr>
        <w:kinsoku/>
        <w:wordWrap/>
        <w:overflowPunct/>
        <w:topLinePunct w:val="0"/>
        <w:autoSpaceDE/>
        <w:autoSpaceDN/>
        <w:bidi w:val="0"/>
        <w:adjustRightInd/>
        <w:snapToGrid/>
        <w:spacing w:line="578" w:lineRule="exact"/>
        <w:ind w:leftChars="0" w:firstLine="640" w:firstLineChars="200"/>
        <w:jc w:val="left"/>
        <w:textAlignment w:val="auto"/>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lang w:eastAsia="zh-CN"/>
        </w:rPr>
        <w:t>七、单位</w:t>
      </w:r>
      <w:r>
        <w:rPr>
          <w:rFonts w:hint="default" w:ascii="Times New Roman" w:hAnsi="Times New Roman" w:eastAsia="仿宋_GB2312" w:cs="Times New Roman"/>
          <w:sz w:val="32"/>
          <w:szCs w:val="32"/>
        </w:rPr>
        <w:t>收支总表</w:t>
      </w:r>
    </w:p>
    <w:p>
      <w:pPr>
        <w:pStyle w:val="5"/>
        <w:keepNext w:val="0"/>
        <w:keepLines w:val="0"/>
        <w:pageBreakBefore w:val="0"/>
        <w:widowControl w:val="0"/>
        <w:numPr>
          <w:ilvl w:val="0"/>
          <w:numId w:val="0"/>
        </w:numPr>
        <w:kinsoku/>
        <w:wordWrap/>
        <w:overflowPunct/>
        <w:topLinePunct w:val="0"/>
        <w:autoSpaceDE/>
        <w:autoSpaceDN/>
        <w:bidi w:val="0"/>
        <w:adjustRightInd/>
        <w:snapToGrid/>
        <w:spacing w:line="578" w:lineRule="exact"/>
        <w:ind w:leftChars="0" w:firstLine="640" w:firstLineChars="200"/>
        <w:jc w:val="left"/>
        <w:textAlignment w:val="auto"/>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lang w:eastAsia="zh-CN"/>
        </w:rPr>
        <w:t>八、单位</w:t>
      </w:r>
      <w:r>
        <w:rPr>
          <w:rFonts w:hint="default" w:ascii="Times New Roman" w:hAnsi="Times New Roman" w:eastAsia="仿宋_GB2312" w:cs="Times New Roman"/>
          <w:sz w:val="32"/>
          <w:szCs w:val="32"/>
        </w:rPr>
        <w:t>收入总表</w:t>
      </w:r>
    </w:p>
    <w:p>
      <w:pPr>
        <w:pStyle w:val="5"/>
        <w:keepNext w:val="0"/>
        <w:keepLines w:val="0"/>
        <w:pageBreakBefore w:val="0"/>
        <w:widowControl w:val="0"/>
        <w:numPr>
          <w:ilvl w:val="0"/>
          <w:numId w:val="0"/>
        </w:numPr>
        <w:kinsoku/>
        <w:wordWrap/>
        <w:overflowPunct/>
        <w:topLinePunct w:val="0"/>
        <w:autoSpaceDE/>
        <w:autoSpaceDN/>
        <w:bidi w:val="0"/>
        <w:adjustRightInd/>
        <w:snapToGrid/>
        <w:spacing w:line="578" w:lineRule="exact"/>
        <w:ind w:leftChars="0" w:firstLine="640" w:firstLineChars="200"/>
        <w:jc w:val="left"/>
        <w:textAlignment w:val="auto"/>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lang w:eastAsia="zh-CN"/>
        </w:rPr>
        <w:t>九、单位</w:t>
      </w:r>
      <w:r>
        <w:rPr>
          <w:rFonts w:hint="default" w:ascii="Times New Roman" w:hAnsi="Times New Roman" w:eastAsia="仿宋_GB2312" w:cs="Times New Roman"/>
          <w:sz w:val="32"/>
          <w:szCs w:val="32"/>
        </w:rPr>
        <w:t>支出总表</w:t>
      </w:r>
    </w:p>
    <w:p>
      <w:pPr>
        <w:pStyle w:val="5"/>
        <w:keepNext w:val="0"/>
        <w:keepLines w:val="0"/>
        <w:pageBreakBefore w:val="0"/>
        <w:widowControl w:val="0"/>
        <w:numPr>
          <w:ilvl w:val="0"/>
          <w:numId w:val="0"/>
        </w:numPr>
        <w:kinsoku/>
        <w:wordWrap/>
        <w:overflowPunct/>
        <w:topLinePunct w:val="0"/>
        <w:autoSpaceDE/>
        <w:autoSpaceDN/>
        <w:bidi w:val="0"/>
        <w:adjustRightInd/>
        <w:snapToGrid/>
        <w:spacing w:line="578" w:lineRule="exact"/>
        <w:ind w:leftChars="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十、</w:t>
      </w:r>
      <w:r>
        <w:rPr>
          <w:rFonts w:hint="default" w:ascii="Times New Roman" w:hAnsi="Times New Roman" w:eastAsia="仿宋_GB2312" w:cs="Times New Roman"/>
          <w:sz w:val="32"/>
          <w:szCs w:val="32"/>
        </w:rPr>
        <w:t>项目支出绩效信息表</w:t>
      </w:r>
    </w:p>
    <w:p>
      <w:pPr>
        <w:pStyle w:val="5"/>
        <w:keepNext w:val="0"/>
        <w:keepLines w:val="0"/>
        <w:pageBreakBefore w:val="0"/>
        <w:widowControl w:val="0"/>
        <w:numPr>
          <w:ilvl w:val="0"/>
          <w:numId w:val="0"/>
        </w:numPr>
        <w:kinsoku/>
        <w:wordWrap/>
        <w:overflowPunct/>
        <w:topLinePunct w:val="0"/>
        <w:autoSpaceDE/>
        <w:autoSpaceDN/>
        <w:bidi w:val="0"/>
        <w:adjustRightInd/>
        <w:snapToGrid/>
        <w:spacing w:line="578" w:lineRule="exact"/>
        <w:ind w:leftChars="0" w:firstLine="640" w:firstLineChars="200"/>
        <w:jc w:val="left"/>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lang w:val="en-US" w:eastAsia="zh-CN"/>
        </w:rPr>
        <w:t xml:space="preserve">第三部分 </w:t>
      </w:r>
      <w:r>
        <w:rPr>
          <w:rFonts w:hint="default" w:ascii="Times New Roman" w:hAnsi="Times New Roman" w:eastAsia="方正黑体_GBK" w:cs="Times New Roman"/>
          <w:sz w:val="32"/>
          <w:szCs w:val="32"/>
          <w:lang w:eastAsia="zh-CN"/>
        </w:rPr>
        <w:t>三亚市</w:t>
      </w:r>
      <w:r>
        <w:rPr>
          <w:rFonts w:hint="default" w:ascii="Times New Roman" w:hAnsi="Times New Roman" w:eastAsia="方正黑体_GBK" w:cs="Times New Roman"/>
          <w:sz w:val="32"/>
          <w:szCs w:val="32"/>
          <w:lang w:val="en-US" w:eastAsia="zh-CN"/>
        </w:rPr>
        <w:t>退役军人服务中心2022</w:t>
      </w:r>
      <w:r>
        <w:rPr>
          <w:rFonts w:hint="default" w:ascii="Times New Roman" w:hAnsi="Times New Roman" w:eastAsia="方正黑体_GBK" w:cs="Times New Roman"/>
          <w:sz w:val="32"/>
          <w:szCs w:val="32"/>
        </w:rPr>
        <w:t>年单位预算情况说明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default" w:ascii="Times New Roman" w:hAnsi="Times New Roman" w:eastAsia="黑体" w:cs="Times New Roman"/>
          <w:sz w:val="32"/>
          <w:szCs w:val="32"/>
        </w:rPr>
      </w:pPr>
      <w:r>
        <w:rPr>
          <w:rFonts w:hint="default" w:ascii="Times New Roman" w:hAnsi="Times New Roman" w:eastAsia="方正黑体_GBK" w:cs="Times New Roman"/>
          <w:sz w:val="32"/>
          <w:szCs w:val="32"/>
          <w:lang w:val="en-US" w:eastAsia="zh-CN"/>
        </w:rPr>
        <w:t>第四部分</w:t>
      </w:r>
      <w:r>
        <w:rPr>
          <w:rFonts w:hint="default" w:ascii="Times New Roman" w:hAnsi="Times New Roman" w:eastAsia="方正黑体_GBK" w:cs="Times New Roman"/>
          <w:sz w:val="32"/>
          <w:szCs w:val="32"/>
        </w:rPr>
        <w:t xml:space="preserve"> 名词解释</w:t>
      </w:r>
    </w:p>
    <w:p>
      <w:pPr>
        <w:keepNext w:val="0"/>
        <w:keepLines w:val="0"/>
        <w:pageBreakBefore w:val="0"/>
        <w:widowControl w:val="0"/>
        <w:kinsoku/>
        <w:wordWrap/>
        <w:overflowPunct/>
        <w:topLinePunct w:val="0"/>
        <w:autoSpaceDE/>
        <w:autoSpaceDN/>
        <w:bidi w:val="0"/>
        <w:adjustRightInd/>
        <w:snapToGrid/>
        <w:spacing w:line="578" w:lineRule="exact"/>
        <w:jc w:val="left"/>
        <w:textAlignment w:val="auto"/>
        <w:rPr>
          <w:rFonts w:hint="default" w:ascii="Times New Roman" w:hAnsi="Times New Roman" w:eastAsia="黑体" w:cs="Times New Roman"/>
          <w:sz w:val="32"/>
          <w:szCs w:val="32"/>
        </w:rPr>
      </w:pPr>
    </w:p>
    <w:p>
      <w:pPr>
        <w:keepNext w:val="0"/>
        <w:keepLines w:val="0"/>
        <w:pageBreakBefore w:val="0"/>
        <w:widowControl w:val="0"/>
        <w:kinsoku/>
        <w:wordWrap/>
        <w:overflowPunct/>
        <w:topLinePunct w:val="0"/>
        <w:autoSpaceDE/>
        <w:autoSpaceDN/>
        <w:bidi w:val="0"/>
        <w:adjustRightInd/>
        <w:snapToGrid/>
        <w:spacing w:line="578" w:lineRule="exact"/>
        <w:jc w:val="left"/>
        <w:textAlignment w:val="auto"/>
        <w:rPr>
          <w:rFonts w:hint="default" w:ascii="Times New Roman" w:hAnsi="Times New Roman" w:eastAsia="黑体" w:cs="Times New Roman"/>
          <w:sz w:val="32"/>
          <w:szCs w:val="32"/>
        </w:rPr>
      </w:pPr>
    </w:p>
    <w:p>
      <w:pPr>
        <w:keepNext w:val="0"/>
        <w:keepLines w:val="0"/>
        <w:pageBreakBefore w:val="0"/>
        <w:widowControl w:val="0"/>
        <w:kinsoku/>
        <w:wordWrap/>
        <w:overflowPunct/>
        <w:topLinePunct w:val="0"/>
        <w:autoSpaceDE/>
        <w:autoSpaceDN/>
        <w:bidi w:val="0"/>
        <w:adjustRightInd/>
        <w:snapToGrid/>
        <w:spacing w:line="578" w:lineRule="exact"/>
        <w:jc w:val="left"/>
        <w:textAlignment w:val="auto"/>
        <w:rPr>
          <w:rFonts w:hint="default" w:ascii="Times New Roman" w:hAnsi="Times New Roman" w:eastAsia="黑体" w:cs="Times New Roman"/>
          <w:sz w:val="32"/>
          <w:szCs w:val="32"/>
        </w:rPr>
      </w:pPr>
    </w:p>
    <w:p>
      <w:pPr>
        <w:keepNext w:val="0"/>
        <w:keepLines w:val="0"/>
        <w:pageBreakBefore w:val="0"/>
        <w:widowControl w:val="0"/>
        <w:kinsoku/>
        <w:wordWrap/>
        <w:overflowPunct/>
        <w:topLinePunct w:val="0"/>
        <w:autoSpaceDE/>
        <w:autoSpaceDN/>
        <w:bidi w:val="0"/>
        <w:adjustRightInd/>
        <w:snapToGrid/>
        <w:spacing w:line="578" w:lineRule="exact"/>
        <w:jc w:val="left"/>
        <w:textAlignment w:val="auto"/>
        <w:rPr>
          <w:rFonts w:hint="default" w:ascii="Times New Roman" w:hAnsi="Times New Roman" w:eastAsia="黑体" w:cs="Times New Roman"/>
          <w:sz w:val="32"/>
          <w:szCs w:val="32"/>
        </w:rPr>
      </w:pPr>
    </w:p>
    <w:p>
      <w:pPr>
        <w:keepNext w:val="0"/>
        <w:keepLines w:val="0"/>
        <w:pageBreakBefore w:val="0"/>
        <w:widowControl w:val="0"/>
        <w:kinsoku/>
        <w:wordWrap/>
        <w:overflowPunct/>
        <w:topLinePunct w:val="0"/>
        <w:autoSpaceDE/>
        <w:autoSpaceDN/>
        <w:bidi w:val="0"/>
        <w:adjustRightInd/>
        <w:snapToGrid/>
        <w:spacing w:line="578" w:lineRule="exact"/>
        <w:jc w:val="left"/>
        <w:textAlignment w:val="auto"/>
        <w:rPr>
          <w:rFonts w:hint="default" w:ascii="Times New Roman" w:hAnsi="Times New Roman" w:eastAsia="黑体" w:cs="Times New Roman"/>
          <w:sz w:val="32"/>
          <w:szCs w:val="32"/>
        </w:rPr>
      </w:pPr>
    </w:p>
    <w:p>
      <w:pPr>
        <w:keepNext w:val="0"/>
        <w:keepLines w:val="0"/>
        <w:pageBreakBefore w:val="0"/>
        <w:widowControl w:val="0"/>
        <w:kinsoku/>
        <w:wordWrap/>
        <w:overflowPunct/>
        <w:topLinePunct w:val="0"/>
        <w:autoSpaceDE/>
        <w:autoSpaceDN/>
        <w:bidi w:val="0"/>
        <w:adjustRightInd/>
        <w:snapToGrid/>
        <w:spacing w:line="578" w:lineRule="exact"/>
        <w:jc w:val="left"/>
        <w:textAlignment w:val="auto"/>
        <w:rPr>
          <w:rFonts w:hint="default" w:ascii="Times New Roman" w:hAnsi="Times New Roman" w:eastAsia="黑体" w:cs="Times New Roman"/>
          <w:sz w:val="32"/>
          <w:szCs w:val="32"/>
        </w:rPr>
      </w:pPr>
    </w:p>
    <w:p>
      <w:pPr>
        <w:keepNext w:val="0"/>
        <w:keepLines w:val="0"/>
        <w:pageBreakBefore w:val="0"/>
        <w:widowControl w:val="0"/>
        <w:kinsoku/>
        <w:wordWrap/>
        <w:overflowPunct/>
        <w:topLinePunct w:val="0"/>
        <w:autoSpaceDE/>
        <w:autoSpaceDN/>
        <w:bidi w:val="0"/>
        <w:adjustRightInd/>
        <w:snapToGrid/>
        <w:spacing w:line="578" w:lineRule="exact"/>
        <w:jc w:val="left"/>
        <w:textAlignment w:val="auto"/>
        <w:rPr>
          <w:rFonts w:hint="default" w:ascii="Times New Roman" w:hAnsi="Times New Roman" w:eastAsia="黑体" w:cs="Times New Roman"/>
          <w:sz w:val="32"/>
          <w:szCs w:val="32"/>
        </w:rPr>
      </w:pPr>
    </w:p>
    <w:p>
      <w:pPr>
        <w:pStyle w:val="5"/>
        <w:keepNext w:val="0"/>
        <w:keepLines w:val="0"/>
        <w:pageBreakBefore w:val="0"/>
        <w:widowControl w:val="0"/>
        <w:numPr>
          <w:ilvl w:val="0"/>
          <w:numId w:val="0"/>
        </w:numPr>
        <w:kinsoku/>
        <w:wordWrap/>
        <w:overflowPunct/>
        <w:topLinePunct w:val="0"/>
        <w:autoSpaceDE/>
        <w:autoSpaceDN/>
        <w:bidi w:val="0"/>
        <w:adjustRightInd/>
        <w:snapToGrid/>
        <w:spacing w:line="578" w:lineRule="exact"/>
        <w:ind w:leftChars="0"/>
        <w:jc w:val="center"/>
        <w:textAlignment w:val="auto"/>
        <w:rPr>
          <w:rFonts w:hint="default" w:ascii="Times New Roman" w:hAnsi="Times New Roman" w:eastAsia="仿宋_GB2312" w:cs="Times New Roman"/>
          <w:sz w:val="32"/>
          <w:szCs w:val="32"/>
        </w:rPr>
      </w:pPr>
      <w:r>
        <w:rPr>
          <w:rFonts w:hint="default" w:ascii="Times New Roman" w:hAnsi="Times New Roman" w:eastAsia="方正黑体_GBK" w:cs="Times New Roman"/>
          <w:kern w:val="2"/>
          <w:sz w:val="32"/>
          <w:szCs w:val="32"/>
          <w:lang w:val="en-US" w:eastAsia="zh-CN" w:bidi="ar-SA"/>
        </w:rPr>
        <w:t>第一部分 三亚市退役军人服务中心概况</w:t>
      </w:r>
    </w:p>
    <w:p>
      <w:pPr>
        <w:keepNext w:val="0"/>
        <w:keepLines w:val="0"/>
        <w:pageBreakBefore w:val="0"/>
        <w:widowControl w:val="0"/>
        <w:kinsoku/>
        <w:wordWrap/>
        <w:overflowPunct/>
        <w:topLinePunct w:val="0"/>
        <w:autoSpaceDE/>
        <w:autoSpaceDN/>
        <w:bidi w:val="0"/>
        <w:adjustRightInd/>
        <w:snapToGrid/>
        <w:spacing w:line="578" w:lineRule="exact"/>
        <w:jc w:val="left"/>
        <w:textAlignment w:val="auto"/>
        <w:rPr>
          <w:rFonts w:hint="default" w:ascii="Times New Roman" w:hAnsi="Times New Roman" w:eastAsia="仿宋_GB2312" w:cs="Times New Roman"/>
          <w:sz w:val="32"/>
          <w:szCs w:val="32"/>
        </w:rPr>
      </w:pPr>
    </w:p>
    <w:p>
      <w:pPr>
        <w:numPr>
          <w:ilvl w:val="0"/>
          <w:numId w:val="1"/>
        </w:numPr>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eastAsia="zh-CN"/>
        </w:rPr>
        <w:t>单位</w:t>
      </w:r>
      <w:r>
        <w:rPr>
          <w:rFonts w:hint="eastAsia" w:ascii="黑体" w:hAnsi="黑体" w:eastAsia="黑体" w:cs="黑体"/>
          <w:sz w:val="32"/>
          <w:szCs w:val="32"/>
          <w:lang w:val="en-US" w:eastAsia="zh-CN"/>
        </w:rPr>
        <w:t>职责</w:t>
      </w:r>
    </w:p>
    <w:p>
      <w:pPr>
        <w:numPr>
          <w:ilvl w:val="0"/>
          <w:numId w:val="0"/>
        </w:numPr>
        <w:ind w:firstLine="640" w:firstLineChars="200"/>
        <w:rPr>
          <w:rFonts w:hint="eastAsia" w:ascii="黑体" w:hAnsi="黑体" w:eastAsia="黑体" w:cs="黑体"/>
          <w:sz w:val="32"/>
          <w:szCs w:val="32"/>
          <w:lang w:val="en-US" w:eastAsia="zh-CN"/>
        </w:rPr>
      </w:pPr>
      <w:r>
        <w:rPr>
          <w:rFonts w:hint="eastAsia" w:ascii="仿宋_GB2312" w:hAnsi="宋体" w:eastAsia="仿宋_GB2312" w:cs="仿宋_GB2312"/>
          <w:kern w:val="0"/>
          <w:sz w:val="32"/>
          <w:szCs w:val="32"/>
        </w:rPr>
        <w:t>三亚市退役军人服务中心（以下简称：服务中心）成立于</w:t>
      </w:r>
      <w:r>
        <w:rPr>
          <w:rFonts w:hint="eastAsia" w:ascii="仿宋_GB2312" w:hAnsi="宋体" w:eastAsia="仿宋_GB2312" w:cs="宋体"/>
          <w:kern w:val="0"/>
          <w:sz w:val="32"/>
          <w:szCs w:val="32"/>
        </w:rPr>
        <w:t>2019年5月，隶属三亚市退役军人事务局下属副处级一类事业单位</w:t>
      </w:r>
      <w:r>
        <w:rPr>
          <w:rFonts w:hint="eastAsia" w:ascii="仿宋_GB2312" w:hAnsi="宋体" w:eastAsia="仿宋_GB2312" w:cs="仿宋_GB2312"/>
          <w:kern w:val="0"/>
          <w:sz w:val="32"/>
          <w:szCs w:val="32"/>
        </w:rPr>
        <w:t>，核定财政全额拨款事业编制人数</w:t>
      </w:r>
      <w:r>
        <w:rPr>
          <w:rFonts w:hint="eastAsia" w:ascii="仿宋_GB2312" w:hAnsi="宋体" w:eastAsia="仿宋_GB2312" w:cs="宋体"/>
          <w:kern w:val="0"/>
          <w:sz w:val="32"/>
          <w:szCs w:val="32"/>
        </w:rPr>
        <w:t>12</w:t>
      </w:r>
      <w:r>
        <w:rPr>
          <w:rFonts w:hint="eastAsia" w:ascii="仿宋_GB2312" w:hAnsi="宋体" w:eastAsia="仿宋_GB2312" w:cs="仿宋_GB2312"/>
          <w:kern w:val="0"/>
          <w:sz w:val="32"/>
          <w:szCs w:val="32"/>
        </w:rPr>
        <w:t>名，目前在职</w:t>
      </w:r>
      <w:r>
        <w:rPr>
          <w:rFonts w:hint="eastAsia" w:ascii="仿宋_GB2312" w:hAnsi="宋体" w:eastAsia="仿宋_GB2312" w:cs="仿宋_GB2312"/>
          <w:kern w:val="0"/>
          <w:sz w:val="32"/>
          <w:szCs w:val="32"/>
          <w:lang w:val="en-US" w:eastAsia="zh-CN"/>
        </w:rPr>
        <w:t>8</w:t>
      </w:r>
      <w:r>
        <w:rPr>
          <w:rFonts w:hint="eastAsia" w:ascii="仿宋_GB2312" w:hAnsi="宋体" w:eastAsia="仿宋_GB2312" w:cs="仿宋_GB2312"/>
          <w:kern w:val="0"/>
          <w:sz w:val="32"/>
          <w:szCs w:val="32"/>
        </w:rPr>
        <w:t>人，其工作职责是保证</w:t>
      </w:r>
      <w:r>
        <w:rPr>
          <w:rFonts w:hint="eastAsia" w:ascii="仿宋_GB2312" w:hAnsi="宋体" w:eastAsia="仿宋_GB2312" w:cs="仿宋_GB2312"/>
          <w:b w:val="0"/>
          <w:kern w:val="0"/>
          <w:sz w:val="32"/>
          <w:szCs w:val="32"/>
        </w:rPr>
        <w:t>退役军人政策内各项服务工作健康运行，引导退役军人就业创业保障</w:t>
      </w:r>
      <w:r>
        <w:rPr>
          <w:rFonts w:hint="eastAsia" w:ascii="仿宋_GB2312" w:hAnsi="宋体" w:eastAsia="仿宋_GB2312" w:cs="宋体"/>
          <w:b w:val="0"/>
          <w:kern w:val="0"/>
          <w:sz w:val="32"/>
          <w:szCs w:val="32"/>
        </w:rPr>
        <w:t>,进行退役军人走访数据信息采集、数据信息审查、采集管理，努力</w:t>
      </w:r>
      <w:r>
        <w:rPr>
          <w:rFonts w:hint="eastAsia" w:ascii="仿宋_GB2312" w:hAnsi="宋体" w:eastAsia="仿宋_GB2312" w:cs="仿宋_GB2312"/>
          <w:b w:val="0"/>
          <w:kern w:val="0"/>
          <w:sz w:val="32"/>
          <w:szCs w:val="32"/>
        </w:rPr>
        <w:t>完成服务对象满意度指标。</w:t>
      </w:r>
      <w:r>
        <w:rPr>
          <w:rFonts w:hint="eastAsia" w:ascii="仿宋_GB2312" w:hAnsi="宋体" w:eastAsia="仿宋_GB2312" w:cs="仿宋_GB2312"/>
          <w:kern w:val="0"/>
          <w:sz w:val="32"/>
          <w:szCs w:val="32"/>
        </w:rPr>
        <w:t>为他们提供各项服务工作，积极创造条件，发挥退役军人的余热，为社会做出应有的贡献。</w:t>
      </w:r>
    </w:p>
    <w:p>
      <w:pPr>
        <w:ind w:firstLine="640" w:firstLineChars="200"/>
        <w:rPr>
          <w:rFonts w:hint="eastAsia" w:ascii="黑体" w:hAnsi="黑体" w:eastAsia="黑体" w:cs="黑体"/>
          <w:sz w:val="32"/>
          <w:szCs w:val="32"/>
          <w:lang w:val="en-US" w:eastAsia="zh-CN"/>
        </w:rPr>
      </w:pPr>
      <w:bookmarkStart w:id="0" w:name="_Toc17796_WPSOffice_Level2"/>
      <w:bookmarkStart w:id="1" w:name="_Toc24059_WPSOffice_Level2"/>
      <w:bookmarkStart w:id="2" w:name="_Toc24474_WPSOffice_Level2"/>
      <w:bookmarkStart w:id="3" w:name="_Toc6572_WPSOffice_Level2"/>
      <w:bookmarkStart w:id="4" w:name="_Toc4833_WPSOffice_Level2"/>
      <w:r>
        <w:rPr>
          <w:rFonts w:hint="eastAsia" w:ascii="黑体" w:hAnsi="黑体" w:eastAsia="黑体" w:cs="黑体"/>
          <w:sz w:val="32"/>
          <w:szCs w:val="32"/>
          <w:lang w:eastAsia="zh-CN"/>
        </w:rPr>
        <w:t>二、</w:t>
      </w:r>
      <w:r>
        <w:rPr>
          <w:rFonts w:hint="eastAsia" w:ascii="黑体" w:hAnsi="黑体" w:eastAsia="黑体" w:cs="黑体"/>
          <w:sz w:val="32"/>
          <w:szCs w:val="32"/>
          <w:lang w:val="en-US" w:eastAsia="zh-CN"/>
        </w:rPr>
        <w:t>机构设置</w:t>
      </w:r>
      <w:bookmarkEnd w:id="0"/>
      <w:bookmarkEnd w:id="1"/>
      <w:bookmarkEnd w:id="2"/>
      <w:bookmarkEnd w:id="3"/>
      <w:bookmarkEnd w:id="4"/>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ˎ̥" w:eastAsia="黑体"/>
          <w:color w:val="000000"/>
          <w:sz w:val="32"/>
          <w:szCs w:val="32"/>
          <w:highlight w:val="none"/>
        </w:rPr>
      </w:pPr>
      <w:r>
        <w:rPr>
          <w:rFonts w:hint="eastAsia" w:ascii="仿宋_GB2312" w:hAnsi="宋体" w:eastAsia="仿宋_GB2312" w:cs="仿宋_GB2312"/>
          <w:b w:val="0"/>
          <w:kern w:val="0"/>
          <w:sz w:val="32"/>
          <w:szCs w:val="32"/>
        </w:rPr>
        <w:t>三亚市退役军人服务中心内设四个科室：综合科、就业创业服务科、接收安置服务科、自主择业干部服务科。</w:t>
      </w:r>
    </w:p>
    <w:p>
      <w:pPr>
        <w:keepNext w:val="0"/>
        <w:keepLines w:val="0"/>
        <w:pageBreakBefore w:val="0"/>
        <w:widowControl w:val="0"/>
        <w:kinsoku/>
        <w:wordWrap/>
        <w:overflowPunct/>
        <w:topLinePunct w:val="0"/>
        <w:autoSpaceDE/>
        <w:autoSpaceDN/>
        <w:bidi w:val="0"/>
        <w:adjustRightInd/>
        <w:snapToGrid/>
        <w:spacing w:line="578" w:lineRule="exact"/>
        <w:ind w:left="800"/>
        <w:jc w:val="left"/>
        <w:textAlignment w:val="auto"/>
        <w:rPr>
          <w:rFonts w:hint="default" w:ascii="Times New Roman" w:hAnsi="Times New Roman" w:eastAsia="方正仿宋_GBK" w:cs="Times New Roman"/>
          <w:sz w:val="32"/>
          <w:szCs w:val="32"/>
        </w:rPr>
      </w:pP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第二部分 三亚市退役军人服务中心2022年单位预算表</w:t>
      </w: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default" w:ascii="Times New Roman" w:hAnsi="Times New Roman" w:eastAsia="方正仿宋_GBK" w:cs="Times New Roman"/>
          <w:b/>
          <w:sz w:val="32"/>
          <w:szCs w:val="32"/>
        </w:rPr>
      </w:pP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default" w:ascii="Times New Roman" w:hAnsi="Times New Roman" w:eastAsia="方正仿宋_GBK" w:cs="Times New Roman"/>
          <w:b/>
          <w:sz w:val="32"/>
          <w:szCs w:val="32"/>
        </w:rPr>
      </w:pPr>
      <w:r>
        <w:rPr>
          <w:rFonts w:hint="default" w:ascii="Times New Roman" w:hAnsi="Times New Roman" w:eastAsia="方正仿宋_GBK" w:cs="Times New Roman"/>
          <w:b/>
          <w:sz w:val="32"/>
          <w:szCs w:val="32"/>
        </w:rPr>
        <w:t>（此部分内容即为单位预算公开表）</w:t>
      </w: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方正仿宋_GBK" w:cs="Times New Roman"/>
          <w:sz w:val="32"/>
          <w:szCs w:val="32"/>
        </w:rPr>
      </w:pP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第三部分 三亚市退役军人服务中心2022年预算情况说明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lang w:val="en-US" w:eastAsia="zh-CN"/>
        </w:rPr>
        <w:t>一、关于三亚市退役军人服务中心2022年财政拨款收支预算情况的总体说明</w:t>
      </w:r>
    </w:p>
    <w:p>
      <w:pPr>
        <w:ind w:firstLine="640" w:firstLineChars="200"/>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三亚市退役军人服务中心2022</w:t>
      </w:r>
      <w:r>
        <w:rPr>
          <w:rFonts w:hint="default" w:ascii="Times New Roman" w:hAnsi="Times New Roman" w:eastAsia="方正仿宋_GBK" w:cs="Times New Roman"/>
          <w:sz w:val="32"/>
          <w:szCs w:val="32"/>
        </w:rPr>
        <w:t>年财政拨款收支总预算</w:t>
      </w:r>
      <w:r>
        <w:rPr>
          <w:rFonts w:hint="default" w:ascii="Times New Roman" w:hAnsi="Times New Roman" w:eastAsia="方正仿宋_GBK" w:cs="Times New Roman"/>
          <w:sz w:val="32"/>
          <w:szCs w:val="32"/>
          <w:lang w:val="en-US" w:eastAsia="zh-CN"/>
        </w:rPr>
        <w:t>7391.7</w:t>
      </w:r>
      <w:r>
        <w:rPr>
          <w:rFonts w:hint="default" w:ascii="Times New Roman" w:hAnsi="Times New Roman" w:eastAsia="方正仿宋_GBK" w:cs="Times New Roman"/>
          <w:sz w:val="32"/>
          <w:szCs w:val="32"/>
        </w:rPr>
        <w:t>万元。其中，收入总</w:t>
      </w:r>
      <w:r>
        <w:rPr>
          <w:rFonts w:hint="default" w:ascii="Times New Roman" w:hAnsi="Times New Roman" w:eastAsia="方正仿宋_GBK" w:cs="Times New Roman"/>
          <w:sz w:val="32"/>
          <w:szCs w:val="32"/>
          <w:lang w:val="en-US" w:eastAsia="zh-CN"/>
        </w:rPr>
        <w:t>3695.85</w:t>
      </w:r>
      <w:r>
        <w:rPr>
          <w:rFonts w:hint="default" w:ascii="Times New Roman" w:hAnsi="Times New Roman" w:eastAsia="方正仿宋_GBK" w:cs="Times New Roman"/>
          <w:sz w:val="32"/>
          <w:szCs w:val="32"/>
        </w:rPr>
        <w:t>元，包括一般公共预算本年收入</w:t>
      </w:r>
      <w:r>
        <w:rPr>
          <w:rFonts w:hint="default" w:ascii="Times New Roman" w:hAnsi="Times New Roman" w:eastAsia="方正仿宋_GBK" w:cs="Times New Roman"/>
          <w:sz w:val="32"/>
          <w:szCs w:val="32"/>
          <w:lang w:val="en-US" w:eastAsia="zh-CN"/>
        </w:rPr>
        <w:t>2831.5</w:t>
      </w:r>
      <w:r>
        <w:rPr>
          <w:rFonts w:hint="default" w:ascii="Times New Roman" w:hAnsi="Times New Roman" w:eastAsia="方正仿宋_GBK" w:cs="Times New Roman"/>
          <w:sz w:val="32"/>
          <w:szCs w:val="32"/>
        </w:rPr>
        <w:t>万元、上年结转</w:t>
      </w:r>
      <w:r>
        <w:rPr>
          <w:rFonts w:hint="default" w:ascii="Times New Roman" w:hAnsi="Times New Roman" w:eastAsia="方正仿宋_GBK" w:cs="Times New Roman"/>
          <w:sz w:val="32"/>
          <w:szCs w:val="32"/>
          <w:lang w:val="en-US" w:eastAsia="zh-CN"/>
        </w:rPr>
        <w:t>864.35</w:t>
      </w:r>
      <w:r>
        <w:rPr>
          <w:rFonts w:hint="default" w:ascii="Times New Roman" w:hAnsi="Times New Roman" w:eastAsia="方正仿宋_GBK" w:cs="Times New Roman"/>
          <w:sz w:val="32"/>
          <w:szCs w:val="32"/>
        </w:rPr>
        <w:t>万元，政府性基金预算本年收入</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万元、上年结转</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万元；支出总计</w:t>
      </w:r>
      <w:r>
        <w:rPr>
          <w:rFonts w:hint="default" w:ascii="Times New Roman" w:hAnsi="Times New Roman" w:eastAsia="方正仿宋_GBK" w:cs="Times New Roman"/>
          <w:sz w:val="32"/>
          <w:szCs w:val="32"/>
          <w:lang w:val="en-US" w:eastAsia="zh-CN"/>
        </w:rPr>
        <w:t>3695.85</w:t>
      </w:r>
      <w:r>
        <w:rPr>
          <w:rFonts w:hint="default" w:ascii="Times New Roman" w:hAnsi="Times New Roman" w:eastAsia="方正仿宋_GBK" w:cs="Times New Roman"/>
          <w:sz w:val="32"/>
          <w:szCs w:val="32"/>
        </w:rPr>
        <w:t>万元，包括一般公共服务支出</w:t>
      </w:r>
      <w:r>
        <w:rPr>
          <w:rFonts w:hint="default" w:ascii="Times New Roman" w:hAnsi="Times New Roman" w:eastAsia="方正仿宋_GBK" w:cs="Times New Roman"/>
          <w:sz w:val="32"/>
          <w:szCs w:val="32"/>
          <w:lang w:val="en-US" w:eastAsia="zh-CN"/>
        </w:rPr>
        <w:t>3695.85</w:t>
      </w:r>
      <w:r>
        <w:rPr>
          <w:rFonts w:hint="default" w:ascii="Times New Roman" w:hAnsi="Times New Roman" w:eastAsia="方正仿宋_GBK" w:cs="Times New Roman"/>
          <w:sz w:val="32"/>
          <w:szCs w:val="32"/>
        </w:rPr>
        <w:t>万元</w:t>
      </w:r>
      <w:r>
        <w:rPr>
          <w:rFonts w:hint="eastAsia" w:ascii="仿宋_GB2312" w:hAnsi="黑体" w:eastAsia="仿宋_GB2312"/>
          <w:sz w:val="32"/>
          <w:szCs w:val="32"/>
        </w:rPr>
        <w:t>、外交支出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万元、国防支出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keepNext w:val="0"/>
        <w:keepLines w:val="0"/>
        <w:pageBreakBefore w:val="0"/>
        <w:widowControl w:val="0"/>
        <w:kinsoku/>
        <w:wordWrap/>
        <w:overflowPunct/>
        <w:topLinePunct w:val="0"/>
        <w:autoSpaceDE/>
        <w:autoSpaceDN/>
        <w:bidi w:val="0"/>
        <w:adjustRightInd/>
        <w:snapToGrid/>
        <w:spacing w:line="578" w:lineRule="exact"/>
        <w:ind w:firstLine="640"/>
        <w:jc w:val="left"/>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lang w:val="en-US" w:eastAsia="zh-CN"/>
        </w:rPr>
        <w:t>二、关于三亚市退役军人服务中心2022年一般公共预算当年拨款情况说明</w:t>
      </w:r>
    </w:p>
    <w:p>
      <w:pPr>
        <w:keepNext w:val="0"/>
        <w:keepLines w:val="0"/>
        <w:pageBreakBefore w:val="0"/>
        <w:widowControl w:val="0"/>
        <w:kinsoku/>
        <w:wordWrap/>
        <w:overflowPunct/>
        <w:topLinePunct w:val="0"/>
        <w:autoSpaceDE/>
        <w:autoSpaceDN/>
        <w:bidi w:val="0"/>
        <w:adjustRightInd/>
        <w:snapToGrid/>
        <w:spacing w:line="578" w:lineRule="exact"/>
        <w:ind w:firstLine="640"/>
        <w:jc w:val="left"/>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（一）一般公共预算当年规模变化情况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sz w:val="32"/>
          <w:szCs w:val="32"/>
          <w:lang w:val="en-US" w:eastAsia="zh-CN"/>
        </w:rPr>
        <w:t>三亚市退役军人服务中心2022</w:t>
      </w:r>
      <w:r>
        <w:rPr>
          <w:rFonts w:hint="default" w:ascii="Times New Roman" w:hAnsi="Times New Roman" w:eastAsia="方正仿宋_GBK" w:cs="Times New Roman"/>
          <w:sz w:val="32"/>
          <w:szCs w:val="32"/>
        </w:rPr>
        <w:t>年一般公共预算当年拨款</w:t>
      </w:r>
      <w:r>
        <w:rPr>
          <w:rFonts w:hint="default" w:ascii="Times New Roman" w:hAnsi="Times New Roman" w:eastAsia="方正仿宋_GBK" w:cs="Times New Roman"/>
          <w:sz w:val="32"/>
          <w:szCs w:val="32"/>
          <w:lang w:val="en-US" w:eastAsia="zh-CN"/>
        </w:rPr>
        <w:t>2831.5</w:t>
      </w:r>
      <w:r>
        <w:rPr>
          <w:rFonts w:hint="default" w:ascii="Times New Roman" w:hAnsi="Times New Roman" w:eastAsia="方正仿宋_GBK" w:cs="Times New Roman"/>
          <w:sz w:val="32"/>
          <w:szCs w:val="32"/>
        </w:rPr>
        <w:t>万元，</w:t>
      </w:r>
      <w:r>
        <w:rPr>
          <w:rFonts w:hint="default" w:ascii="Times New Roman" w:hAnsi="Times New Roman" w:eastAsia="方正仿宋_GBK" w:cs="Times New Roman"/>
          <w:color w:val="auto"/>
          <w:sz w:val="32"/>
          <w:szCs w:val="32"/>
        </w:rPr>
        <w:t>比上年预算数</w:t>
      </w:r>
      <w:r>
        <w:rPr>
          <w:rFonts w:hint="default" w:ascii="Times New Roman" w:hAnsi="Times New Roman" w:eastAsia="方正仿宋_GBK" w:cs="Times New Roman"/>
          <w:color w:val="auto"/>
          <w:sz w:val="32"/>
          <w:szCs w:val="32"/>
          <w:lang w:val="en-US" w:eastAsia="zh-CN"/>
        </w:rPr>
        <w:t>下降1478.29</w:t>
      </w:r>
      <w:r>
        <w:rPr>
          <w:rFonts w:hint="default" w:ascii="Times New Roman" w:hAnsi="Times New Roman" w:eastAsia="方正仿宋_GBK" w:cs="Times New Roman"/>
          <w:color w:val="auto"/>
          <w:sz w:val="32"/>
          <w:szCs w:val="32"/>
        </w:rPr>
        <w:t>万元，主要</w:t>
      </w:r>
      <w:r>
        <w:rPr>
          <w:rFonts w:hint="default" w:ascii="Times New Roman" w:hAnsi="Times New Roman" w:eastAsia="方正仿宋_GBK" w:cs="Times New Roman"/>
          <w:color w:val="auto"/>
          <w:sz w:val="32"/>
          <w:szCs w:val="32"/>
          <w:lang w:val="en-US" w:eastAsia="zh-CN"/>
        </w:rPr>
        <w:t>原因是部分退役士兵社保接续业务已收尾，使用资金减少。</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（二）一般公共预算当年拨款结构情况</w:t>
      </w:r>
    </w:p>
    <w:p>
      <w:pPr>
        <w:keepNext w:val="0"/>
        <w:keepLines w:val="0"/>
        <w:pageBreakBefore w:val="0"/>
        <w:widowControl w:val="0"/>
        <w:kinsoku/>
        <w:wordWrap/>
        <w:overflowPunct/>
        <w:topLinePunct w:val="0"/>
        <w:autoSpaceDE/>
        <w:autoSpaceDN/>
        <w:bidi w:val="0"/>
        <w:adjustRightInd/>
        <w:snapToGrid/>
        <w:spacing w:line="578" w:lineRule="exact"/>
        <w:ind w:firstLine="64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社会保障和就业支出</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类）支出1455.86万元，占39.39%；卫生健康支出（类）支出2231.25万元，占60.37%；住房保障支出（类）支出8.74万元，占0.24%。</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（三）一般公共预算当年拨款具体使用情况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1.社会保障和就业支出</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类）行政事业单位养老支出（款）机关事业单位基本养老保险缴费支出(项）支出11.22万元；</w:t>
      </w:r>
      <w:r>
        <w:rPr>
          <w:rFonts w:hint="default" w:ascii="Times New Roman" w:hAnsi="Times New Roman" w:eastAsia="方正仿宋_GBK" w:cs="Times New Roman"/>
          <w:sz w:val="32"/>
          <w:szCs w:val="32"/>
        </w:rPr>
        <w:t>主要是</w:t>
      </w:r>
      <w:r>
        <w:rPr>
          <w:rFonts w:hint="default" w:ascii="Times New Roman" w:hAnsi="Times New Roman" w:eastAsia="方正仿宋_GBK" w:cs="Times New Roman"/>
          <w:sz w:val="32"/>
          <w:szCs w:val="32"/>
          <w:lang w:val="en-US" w:eastAsia="zh-CN"/>
        </w:rPr>
        <w:t>用于本单位在编人员养老保险缴纳。</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2.社会保障和就业支出（类）退役安置（款）退役士兵安置（项）支出134万元，主要用于退役士官待安置期间费用。</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3.社会保障和就业支出（类）退役安置（款）其他退役安置支出（项）支出1015.35万元，主要用于退役士兵的就业创业项目、自主择业军转干部的管理、</w:t>
      </w:r>
      <w:r>
        <w:rPr>
          <w:rFonts w:hint="default" w:ascii="Times New Roman" w:hAnsi="Times New Roman" w:eastAsia="方正仿宋_GBK" w:cs="Times New Roman"/>
          <w:color w:val="auto"/>
          <w:sz w:val="32"/>
          <w:szCs w:val="32"/>
          <w:lang w:val="en-US" w:eastAsia="zh-CN"/>
        </w:rPr>
        <w:t>部分退役士兵社保接续业务</w:t>
      </w:r>
      <w:r>
        <w:rPr>
          <w:rFonts w:hint="default" w:ascii="Times New Roman" w:hAnsi="Times New Roman" w:eastAsia="方正仿宋_GBK" w:cs="Times New Roman"/>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4.社会保障和就业支出（类）退役军人管理事务（款）事业运行（项）支出121.98万元，主要用于办日常综合事项支出及在编在岗人员的社保缴纳。</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5.社会保障和就业支出（类）退役军人管理事务（款）其他退役军人事务管理支出（项）支出173.3万元，主要用于退役军人事务管理综合事项支出。</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6.卫生健康支出（类）行政事业单位医疗（款）事业单位医疗（项）支出1005.96万元，主要用于退役军人医疗保险及在编人员医疗保险支出。</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7.卫生健康支出（类）行政事业单位医疗（款）公务员医疗补助（项）支出1225.29万元，主要用于退役军人公务员医疗补助保险及在编人员公务员医疗补助保险支出。</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7.住房保障支出（类）住房改革支出（款）住房公积金（项）支出8.74万元，主要用于在编人员住房公积金支出。</w:t>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三、关于</w:t>
      </w:r>
      <w:r>
        <w:rPr>
          <w:rFonts w:hint="default" w:ascii="Times New Roman" w:hAnsi="Times New Roman" w:eastAsia="方正黑体_GBK" w:cs="Times New Roman"/>
          <w:sz w:val="32"/>
          <w:szCs w:val="32"/>
          <w:lang w:val="en-US" w:eastAsia="zh-CN"/>
        </w:rPr>
        <w:t>三亚市退役军人服务中心2022</w:t>
      </w:r>
      <w:r>
        <w:rPr>
          <w:rFonts w:hint="default" w:ascii="Times New Roman" w:hAnsi="Times New Roman" w:eastAsia="方正黑体_GBK" w:cs="Times New Roman"/>
          <w:sz w:val="32"/>
          <w:szCs w:val="32"/>
        </w:rPr>
        <w:t>年一般公共预算基本支出情况说明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三亚市退役军人服务中心2022年</w:t>
      </w:r>
      <w:r>
        <w:rPr>
          <w:rFonts w:hint="default" w:ascii="Times New Roman" w:hAnsi="Times New Roman" w:eastAsia="方正仿宋_GBK" w:cs="Times New Roman"/>
          <w:sz w:val="32"/>
          <w:szCs w:val="32"/>
        </w:rPr>
        <w:t>一般公共预算基本支出为</w:t>
      </w:r>
      <w:r>
        <w:rPr>
          <w:rFonts w:hint="default" w:ascii="Times New Roman" w:hAnsi="Times New Roman" w:eastAsia="方正仿宋_GBK" w:cs="Times New Roman"/>
          <w:sz w:val="32"/>
          <w:szCs w:val="32"/>
          <w:lang w:val="en-US" w:eastAsia="zh-CN"/>
        </w:rPr>
        <w:t>2831.5</w:t>
      </w:r>
      <w:r>
        <w:rPr>
          <w:rFonts w:hint="default" w:ascii="Times New Roman" w:hAnsi="Times New Roman" w:eastAsia="方正仿宋_GBK" w:cs="Times New Roman"/>
          <w:sz w:val="32"/>
          <w:szCs w:val="32"/>
        </w:rPr>
        <w:t>万元，其中：</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人员经费</w:t>
      </w:r>
      <w:r>
        <w:rPr>
          <w:rFonts w:hint="default" w:ascii="Times New Roman" w:hAnsi="Times New Roman" w:eastAsia="方正仿宋_GBK" w:cs="Times New Roman"/>
          <w:sz w:val="32"/>
          <w:szCs w:val="32"/>
          <w:lang w:val="en-US" w:eastAsia="zh-CN"/>
        </w:rPr>
        <w:t>149.35</w:t>
      </w:r>
      <w:r>
        <w:rPr>
          <w:rFonts w:hint="default" w:ascii="Times New Roman" w:hAnsi="Times New Roman" w:eastAsia="方正仿宋_GBK" w:cs="Times New Roman"/>
          <w:sz w:val="32"/>
          <w:szCs w:val="32"/>
        </w:rPr>
        <w:t>万元，主要包括</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基本工资、津贴补贴、奖金、社会保障缴费、机关事业单位基本养老保险缴费、城镇职工基本医疗保险缴费、公务员医疗补助缴费、其他社会保障缴费、住房公积金。</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公用经费</w:t>
      </w:r>
      <w:r>
        <w:rPr>
          <w:rFonts w:hint="default" w:ascii="Times New Roman" w:hAnsi="Times New Roman" w:eastAsia="方正仿宋_GBK" w:cs="Times New Roman"/>
          <w:sz w:val="32"/>
          <w:szCs w:val="32"/>
          <w:lang w:val="en-US" w:eastAsia="zh-CN"/>
        </w:rPr>
        <w:t>8.85</w:t>
      </w:r>
      <w:r>
        <w:rPr>
          <w:rFonts w:hint="default" w:ascii="Times New Roman" w:hAnsi="Times New Roman" w:eastAsia="方正仿宋_GBK" w:cs="Times New Roman"/>
          <w:sz w:val="32"/>
          <w:szCs w:val="32"/>
        </w:rPr>
        <w:t>万元，主要包括：</w:t>
      </w:r>
      <w:r>
        <w:rPr>
          <w:rFonts w:hint="default" w:ascii="Times New Roman" w:hAnsi="Times New Roman" w:eastAsia="方正仿宋_GBK" w:cs="Times New Roman"/>
          <w:i w:val="0"/>
          <w:caps w:val="0"/>
          <w:color w:val="222222"/>
          <w:spacing w:val="0"/>
          <w:sz w:val="32"/>
          <w:szCs w:val="32"/>
        </w:rPr>
        <w:t>办</w:t>
      </w:r>
      <w:r>
        <w:rPr>
          <w:rFonts w:hint="default" w:ascii="Times New Roman" w:hAnsi="Times New Roman" w:eastAsia="方正仿宋_GBK" w:cs="Times New Roman"/>
          <w:sz w:val="32"/>
          <w:szCs w:val="32"/>
        </w:rPr>
        <w:t>公费、咨询费、手续费、电费、邮电费、会议费、培训费、公务接待费、工会经费、福利费、公务用车运行维护费、其他交通费用、其他商品和服务支出。</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_GBK" w:cs="Times New Roman"/>
          <w:sz w:val="32"/>
          <w:shd w:val="clear" w:color="auto" w:fill="FFFFFF"/>
        </w:rPr>
      </w:pPr>
      <w:r>
        <w:rPr>
          <w:rFonts w:hint="default" w:ascii="Times New Roman" w:hAnsi="Times New Roman" w:eastAsia="方正黑体_GBK" w:cs="Times New Roman"/>
          <w:sz w:val="32"/>
          <w:szCs w:val="32"/>
          <w:lang w:val="en-US" w:eastAsia="zh-CN"/>
        </w:rPr>
        <w:t>四、三亚市退役军人服务中心2022年“三公”经费预算情况说明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（一）</w:t>
      </w:r>
      <w:r>
        <w:rPr>
          <w:rFonts w:hint="default" w:ascii="Times New Roman" w:hAnsi="Times New Roman" w:eastAsia="方正楷体_GBK" w:cs="Times New Roman"/>
          <w:sz w:val="32"/>
          <w:szCs w:val="32"/>
          <w:lang w:val="en-US" w:eastAsia="zh-CN"/>
        </w:rPr>
        <w:t>三亚市退役军人服务中心2022</w:t>
      </w:r>
      <w:r>
        <w:rPr>
          <w:rFonts w:hint="default" w:ascii="Times New Roman" w:hAnsi="Times New Roman" w:eastAsia="方正楷体_GBK" w:cs="Times New Roman"/>
          <w:sz w:val="32"/>
          <w:szCs w:val="32"/>
        </w:rPr>
        <w:t>年一般公共预算“三公”经费预算数为3万元，其中：</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_GBK" w:cs="Times New Roman"/>
          <w:sz w:val="32"/>
          <w:shd w:val="clear" w:color="auto" w:fill="FFFFFF"/>
        </w:rPr>
      </w:pPr>
      <w:r>
        <w:rPr>
          <w:rFonts w:hint="default" w:ascii="Times New Roman" w:hAnsi="Times New Roman" w:eastAsia="方正仿宋_GBK" w:cs="Times New Roman"/>
          <w:sz w:val="32"/>
          <w:shd w:val="clear" w:color="auto" w:fill="FFFFFF"/>
        </w:rPr>
        <w:t>因公出国（境）经费</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w:t>
      </w:r>
      <w:r>
        <w:rPr>
          <w:rFonts w:hint="default" w:ascii="Times New Roman" w:hAnsi="Times New Roman" w:eastAsia="方正仿宋_GBK" w:cs="Times New Roman"/>
          <w:sz w:val="32"/>
          <w:shd w:val="clear" w:color="auto" w:fill="FFFFFF"/>
        </w:rPr>
        <w:t>，与上年预算持平；公务用车购置及运行费</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万元（其中，</w:t>
      </w:r>
      <w:r>
        <w:rPr>
          <w:rFonts w:hint="default" w:ascii="Times New Roman" w:hAnsi="Times New Roman" w:eastAsia="方正仿宋_GBK" w:cs="Times New Roman"/>
          <w:sz w:val="32"/>
          <w:shd w:val="clear" w:color="auto" w:fill="FFFFFF"/>
        </w:rPr>
        <w:t>公务用车购置费</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w:t>
      </w:r>
      <w:r>
        <w:rPr>
          <w:rFonts w:hint="default" w:ascii="Times New Roman" w:hAnsi="Times New Roman" w:eastAsia="方正仿宋_GBK" w:cs="Times New Roman"/>
          <w:sz w:val="32"/>
          <w:shd w:val="clear" w:color="auto" w:fill="FFFFFF"/>
        </w:rPr>
        <w:t>，公务用车运行费</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w:t>
      </w:r>
      <w:r>
        <w:rPr>
          <w:rFonts w:hint="default" w:ascii="Times New Roman" w:hAnsi="Times New Roman" w:eastAsia="方正仿宋_GBK" w:cs="Times New Roman"/>
          <w:sz w:val="32"/>
          <w:shd w:val="clear" w:color="auto" w:fill="FFFFFF"/>
        </w:rPr>
        <w:t>，与上年预算持平；公务车保有量</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辆，计划购置</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辆</w:t>
      </w:r>
      <w:r>
        <w:rPr>
          <w:rFonts w:hint="default" w:ascii="Times New Roman" w:hAnsi="Times New Roman" w:eastAsia="方正仿宋_GBK" w:cs="Times New Roman"/>
          <w:sz w:val="32"/>
          <w:shd w:val="clear" w:color="auto" w:fill="FFFFFF"/>
        </w:rPr>
        <w:t>。</w:t>
      </w:r>
      <w:r>
        <w:rPr>
          <w:rFonts w:hint="default" w:ascii="Times New Roman" w:hAnsi="Times New Roman" w:eastAsia="方正仿宋_GBK" w:cs="Times New Roman"/>
          <w:sz w:val="32"/>
          <w:szCs w:val="32"/>
        </w:rPr>
        <w:t>公务接待费</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hd w:val="clear" w:color="auto" w:fill="FFFFFF"/>
        </w:rPr>
        <w:t>万元，与上年预算持平</w:t>
      </w:r>
      <w:r>
        <w:rPr>
          <w:rFonts w:hint="default" w:ascii="Times New Roman" w:hAnsi="Times New Roman" w:eastAsia="方正仿宋_GBK" w:cs="Times New Roman"/>
          <w:sz w:val="32"/>
          <w:shd w:val="clear" w:color="auto" w:fill="FFFFFF"/>
          <w:lang w:eastAsia="zh-CN"/>
        </w:rPr>
        <w:t>，</w:t>
      </w:r>
      <w:r>
        <w:rPr>
          <w:rFonts w:hint="default" w:ascii="Times New Roman" w:hAnsi="Times New Roman" w:eastAsia="方正仿宋_GBK" w:cs="Times New Roman"/>
          <w:sz w:val="32"/>
          <w:shd w:val="clear" w:color="auto" w:fill="FFFFFF"/>
        </w:rPr>
        <w:t>计划接待</w:t>
      </w:r>
      <w:r>
        <w:rPr>
          <w:rFonts w:hint="default" w:ascii="Times New Roman" w:hAnsi="Times New Roman" w:eastAsia="方正仿宋_GBK" w:cs="Times New Roman"/>
          <w:sz w:val="32"/>
          <w:szCs w:val="32"/>
          <w:lang w:val="en-US" w:eastAsia="zh-CN"/>
        </w:rPr>
        <w:t>8</w:t>
      </w:r>
      <w:r>
        <w:rPr>
          <w:rFonts w:hint="default" w:ascii="Times New Roman" w:hAnsi="Times New Roman" w:eastAsia="方正仿宋_GBK" w:cs="Times New Roman"/>
          <w:sz w:val="32"/>
          <w:szCs w:val="32"/>
        </w:rPr>
        <w:t>批</w:t>
      </w:r>
      <w:r>
        <w:rPr>
          <w:rFonts w:hint="default" w:ascii="Times New Roman" w:hAnsi="Times New Roman" w:eastAsia="方正仿宋_GBK" w:cs="Times New Roman"/>
          <w:sz w:val="32"/>
          <w:szCs w:val="32"/>
          <w:lang w:val="en-US" w:eastAsia="zh-CN"/>
        </w:rPr>
        <w:t>30</w:t>
      </w:r>
      <w:r>
        <w:rPr>
          <w:rFonts w:hint="default" w:ascii="Times New Roman" w:hAnsi="Times New Roman" w:eastAsia="方正仿宋_GBK" w:cs="Times New Roman"/>
          <w:sz w:val="32"/>
          <w:szCs w:val="32"/>
        </w:rPr>
        <w:t>人</w:t>
      </w:r>
      <w:r>
        <w:rPr>
          <w:rFonts w:hint="default" w:ascii="Times New Roman" w:hAnsi="Times New Roman" w:eastAsia="方正仿宋_GBK" w:cs="Times New Roman"/>
          <w:sz w:val="32"/>
          <w:shd w:val="clear" w:color="auto" w:fill="FFFFFF"/>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（二）</w:t>
      </w:r>
      <w:r>
        <w:rPr>
          <w:rFonts w:hint="default" w:ascii="Times New Roman" w:hAnsi="Times New Roman" w:eastAsia="方正楷体_GBK" w:cs="Times New Roman"/>
          <w:sz w:val="32"/>
          <w:szCs w:val="32"/>
          <w:lang w:val="en-US" w:eastAsia="zh-CN"/>
        </w:rPr>
        <w:t>三亚市退役军人服务中心2022年</w:t>
      </w:r>
      <w:r>
        <w:rPr>
          <w:rFonts w:hint="default" w:ascii="Times New Roman" w:hAnsi="Times New Roman" w:eastAsia="方正楷体_GBK" w:cs="Times New Roman"/>
          <w:sz w:val="32"/>
          <w:szCs w:val="32"/>
        </w:rPr>
        <w:t>政府性基金预算“三公”经费预算数为</w:t>
      </w:r>
      <w:r>
        <w:rPr>
          <w:rFonts w:hint="default" w:ascii="Times New Roman" w:hAnsi="Times New Roman" w:eastAsia="方正楷体_GBK" w:cs="Times New Roman"/>
          <w:sz w:val="32"/>
          <w:szCs w:val="32"/>
          <w:lang w:val="en-US" w:eastAsia="zh-CN"/>
        </w:rPr>
        <w:t>0</w:t>
      </w:r>
      <w:r>
        <w:rPr>
          <w:rFonts w:hint="default" w:ascii="Times New Roman" w:hAnsi="Times New Roman" w:eastAsia="方正楷体_GBK" w:cs="Times New Roman"/>
          <w:sz w:val="32"/>
          <w:szCs w:val="32"/>
        </w:rPr>
        <w:t>万元，其中：</w:t>
      </w: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方正仿宋_GBK" w:cs="Times New Roman"/>
          <w:sz w:val="32"/>
          <w:shd w:val="clear" w:color="auto" w:fill="FFFFFF"/>
        </w:rPr>
      </w:pPr>
      <w:r>
        <w:rPr>
          <w:rFonts w:hint="default" w:ascii="Times New Roman" w:hAnsi="Times New Roman" w:eastAsia="方正仿宋_GBK" w:cs="Times New Roman"/>
          <w:sz w:val="32"/>
          <w:shd w:val="clear" w:color="auto" w:fill="FFFFFF"/>
        </w:rPr>
        <w:t xml:space="preserve">    因公出国（境）经费</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w:t>
      </w:r>
      <w:r>
        <w:rPr>
          <w:rFonts w:hint="default" w:ascii="Times New Roman" w:hAnsi="Times New Roman" w:eastAsia="方正仿宋_GBK" w:cs="Times New Roman"/>
          <w:sz w:val="32"/>
          <w:shd w:val="clear" w:color="auto" w:fill="FFFFFF"/>
        </w:rPr>
        <w:t>，与上年预算持平；公务用车购置及运行费</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万元（其中，</w:t>
      </w:r>
      <w:r>
        <w:rPr>
          <w:rFonts w:hint="default" w:ascii="Times New Roman" w:hAnsi="Times New Roman" w:eastAsia="方正仿宋_GBK" w:cs="Times New Roman"/>
          <w:sz w:val="32"/>
          <w:shd w:val="clear" w:color="auto" w:fill="FFFFFF"/>
        </w:rPr>
        <w:t>公务用车购置费</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w:t>
      </w:r>
      <w:r>
        <w:rPr>
          <w:rFonts w:hint="default" w:ascii="Times New Roman" w:hAnsi="Times New Roman" w:eastAsia="方正仿宋_GBK" w:cs="Times New Roman"/>
          <w:sz w:val="32"/>
          <w:shd w:val="clear" w:color="auto" w:fill="FFFFFF"/>
        </w:rPr>
        <w:t>，公务用车运行费</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w:t>
      </w:r>
      <w:r>
        <w:rPr>
          <w:rFonts w:hint="default" w:ascii="Times New Roman" w:hAnsi="Times New Roman" w:eastAsia="方正仿宋_GBK" w:cs="Times New Roman"/>
          <w:sz w:val="32"/>
          <w:shd w:val="clear" w:color="auto" w:fill="FFFFFF"/>
        </w:rPr>
        <w:t>，与上年预算持平；公务车保有量</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辆，计划购置</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辆</w:t>
      </w:r>
      <w:r>
        <w:rPr>
          <w:rFonts w:hint="default" w:ascii="Times New Roman" w:hAnsi="Times New Roman" w:eastAsia="方正仿宋_GBK" w:cs="Times New Roman"/>
          <w:sz w:val="32"/>
          <w:shd w:val="clear" w:color="auto" w:fill="FFFFFF"/>
        </w:rPr>
        <w:t>。</w:t>
      </w:r>
      <w:r>
        <w:rPr>
          <w:rFonts w:hint="default" w:ascii="Times New Roman" w:hAnsi="Times New Roman" w:eastAsia="方正仿宋_GBK" w:cs="Times New Roman"/>
          <w:sz w:val="32"/>
          <w:szCs w:val="32"/>
        </w:rPr>
        <w:t>公务接待费</w:t>
      </w:r>
      <w:r>
        <w:rPr>
          <w:rFonts w:hint="eastAsia"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hd w:val="clear" w:color="auto" w:fill="FFFFFF"/>
        </w:rPr>
        <w:t>万元，与上年预算持平</w:t>
      </w:r>
      <w:r>
        <w:rPr>
          <w:rFonts w:hint="default" w:ascii="Times New Roman" w:hAnsi="Times New Roman" w:eastAsia="方正仿宋_GBK" w:cs="Times New Roman"/>
          <w:sz w:val="32"/>
          <w:shd w:val="clear" w:color="auto" w:fill="FFFFFF"/>
          <w:lang w:eastAsia="zh-CN"/>
        </w:rPr>
        <w:t>，</w:t>
      </w:r>
      <w:r>
        <w:rPr>
          <w:rFonts w:hint="default" w:ascii="Times New Roman" w:hAnsi="Times New Roman" w:eastAsia="方正仿宋_GBK" w:cs="Times New Roman"/>
          <w:sz w:val="32"/>
          <w:shd w:val="clear" w:color="auto" w:fill="FFFFFF"/>
        </w:rPr>
        <w:t>计划接待</w:t>
      </w:r>
      <w:r>
        <w:rPr>
          <w:rFonts w:hint="eastAsia"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批</w:t>
      </w:r>
      <w:r>
        <w:rPr>
          <w:rFonts w:hint="eastAsia"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人</w:t>
      </w:r>
      <w:r>
        <w:rPr>
          <w:rFonts w:hint="default" w:ascii="Times New Roman" w:hAnsi="Times New Roman" w:eastAsia="方正仿宋_GBK" w:cs="Times New Roman"/>
          <w:sz w:val="32"/>
          <w:shd w:val="clear" w:color="auto" w:fill="FFFFFF"/>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_GBK" w:cs="Times New Roman"/>
          <w:sz w:val="32"/>
          <w:shd w:val="clear" w:color="auto" w:fill="FFFFFF"/>
        </w:rPr>
      </w:pPr>
      <w:r>
        <w:rPr>
          <w:rFonts w:hint="default" w:ascii="Times New Roman" w:hAnsi="Times New Roman" w:eastAsia="方正黑体_GBK" w:cs="Times New Roman"/>
          <w:sz w:val="32"/>
          <w:szCs w:val="32"/>
          <w:lang w:val="en-US" w:eastAsia="zh-CN"/>
        </w:rPr>
        <w:t>五、关于三亚市退役军人服务中心2022年政府性基金预算当年拨款情况说明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（一）政府性基金预算当年规模变化情况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三亚市退役军人服务中心2022年</w:t>
      </w:r>
      <w:r>
        <w:rPr>
          <w:rFonts w:hint="default" w:ascii="Times New Roman" w:hAnsi="Times New Roman" w:eastAsia="方正仿宋_GBK" w:cs="Times New Roman"/>
          <w:sz w:val="32"/>
          <w:szCs w:val="32"/>
        </w:rPr>
        <w:t>政府性基金预算当年拨款</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万元，比上年预算持平。</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（二）政府性基金预算当年拨款结构情况</w:t>
      </w:r>
    </w:p>
    <w:p>
      <w:pPr>
        <w:keepNext w:val="0"/>
        <w:keepLines w:val="0"/>
        <w:pageBreakBefore w:val="0"/>
        <w:widowControl w:val="0"/>
        <w:kinsoku/>
        <w:wordWrap/>
        <w:overflowPunct/>
        <w:topLinePunct w:val="0"/>
        <w:autoSpaceDE/>
        <w:autoSpaceDN/>
        <w:bidi w:val="0"/>
        <w:adjustRightInd/>
        <w:snapToGrid/>
        <w:spacing w:line="578" w:lineRule="exact"/>
        <w:ind w:firstLine="800" w:firstLineChars="25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科学技术支出（类）支出</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万元，占</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%；文化体育与传媒支出（类）支出</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万元，占</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%；社会保障和就业支出（类）支出</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万元，占</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%；节能环保（类）支出</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万元，占</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firstLine="640"/>
        <w:jc w:val="left"/>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（三）政府性基金预算当年拨款具体使用情况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 科学技术支出（类）核电站乏燃料处理处置基金支出（款）乏燃料运输（项）</w:t>
      </w:r>
      <w:r>
        <w:rPr>
          <w:rFonts w:hint="default" w:ascii="Times New Roman" w:hAnsi="Times New Roman" w:eastAsia="方正仿宋_GBK" w:cs="Times New Roman"/>
          <w:sz w:val="32"/>
          <w:szCs w:val="32"/>
          <w:lang w:val="en-US" w:eastAsia="zh-CN"/>
        </w:rPr>
        <w:t>2022</w:t>
      </w:r>
      <w:r>
        <w:rPr>
          <w:rFonts w:hint="default" w:ascii="Times New Roman" w:hAnsi="Times New Roman" w:eastAsia="方正仿宋_GBK" w:cs="Times New Roman"/>
          <w:sz w:val="32"/>
          <w:szCs w:val="32"/>
        </w:rPr>
        <w:t>年预算数为</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w:t>
      </w:r>
      <w:r>
        <w:rPr>
          <w:rFonts w:hint="eastAsia" w:ascii="Times New Roman" w:hAnsi="Times New Roman" w:eastAsia="方正仿宋_GBK" w:cs="Times New Roman"/>
          <w:sz w:val="32"/>
          <w:szCs w:val="32"/>
          <w:lang w:eastAsia="zh-CN"/>
        </w:rPr>
        <w:t>与</w:t>
      </w:r>
      <w:r>
        <w:rPr>
          <w:rFonts w:hint="default" w:ascii="Times New Roman" w:hAnsi="Times New Roman" w:eastAsia="方正仿宋_GBK" w:cs="Times New Roman"/>
          <w:sz w:val="32"/>
          <w:szCs w:val="32"/>
        </w:rPr>
        <w:t>上年预算数持平。</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 科学技术支出（类）核电站乏燃料处理处置基金支出（款）乏燃料离堆贮存（项）</w:t>
      </w:r>
      <w:r>
        <w:rPr>
          <w:rFonts w:hint="default" w:ascii="Times New Roman" w:hAnsi="Times New Roman" w:eastAsia="方正仿宋_GBK" w:cs="Times New Roman"/>
          <w:sz w:val="32"/>
          <w:szCs w:val="32"/>
          <w:lang w:val="en-US" w:eastAsia="zh-CN"/>
        </w:rPr>
        <w:t>2022</w:t>
      </w:r>
      <w:r>
        <w:rPr>
          <w:rFonts w:hint="default" w:ascii="Times New Roman" w:hAnsi="Times New Roman" w:eastAsia="方正仿宋_GBK" w:cs="Times New Roman"/>
          <w:sz w:val="32"/>
          <w:szCs w:val="32"/>
        </w:rPr>
        <w:t>年预算数为</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w:t>
      </w:r>
      <w:r>
        <w:rPr>
          <w:rFonts w:hint="eastAsia" w:ascii="Times New Roman" w:hAnsi="Times New Roman" w:eastAsia="方正仿宋_GBK" w:cs="Times New Roman"/>
          <w:sz w:val="32"/>
          <w:szCs w:val="32"/>
          <w:lang w:eastAsia="zh-CN"/>
        </w:rPr>
        <w:t>与</w:t>
      </w:r>
      <w:r>
        <w:rPr>
          <w:rFonts w:hint="default" w:ascii="Times New Roman" w:hAnsi="Times New Roman" w:eastAsia="方正仿宋_GBK" w:cs="Times New Roman"/>
          <w:sz w:val="32"/>
          <w:szCs w:val="32"/>
        </w:rPr>
        <w:t>上年预算数持平。</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_GBK" w:cs="Times New Roman"/>
          <w:sz w:val="32"/>
          <w:shd w:val="clear" w:color="auto" w:fill="FFFFFF"/>
        </w:rPr>
      </w:pPr>
      <w:r>
        <w:rPr>
          <w:rFonts w:hint="default" w:ascii="Times New Roman" w:hAnsi="Times New Roman" w:eastAsia="方正黑体_GBK" w:cs="Times New Roman"/>
          <w:sz w:val="32"/>
          <w:szCs w:val="32"/>
          <w:lang w:val="en-US" w:eastAsia="zh-CN"/>
        </w:rPr>
        <w:t>六、关于三亚市退役军人服务中心2022年收支预算情况的总体说明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按照综合预算原则，</w:t>
      </w:r>
      <w:r>
        <w:rPr>
          <w:rFonts w:hint="default" w:ascii="Times New Roman" w:hAnsi="Times New Roman" w:eastAsia="方正仿宋_GBK" w:cs="Times New Roman"/>
          <w:sz w:val="32"/>
          <w:szCs w:val="32"/>
          <w:lang w:val="en-US" w:eastAsia="zh-CN"/>
        </w:rPr>
        <w:t>三亚市退役军人服务中心</w:t>
      </w:r>
      <w:r>
        <w:rPr>
          <w:rFonts w:hint="default" w:ascii="Times New Roman" w:hAnsi="Times New Roman" w:eastAsia="方正仿宋_GBK" w:cs="Times New Roman"/>
          <w:sz w:val="32"/>
          <w:szCs w:val="32"/>
        </w:rPr>
        <w:t>所有收入和支出均纳入</w:t>
      </w:r>
      <w:r>
        <w:rPr>
          <w:rFonts w:hint="eastAsia" w:ascii="Times New Roman" w:hAnsi="Times New Roman" w:eastAsia="方正仿宋_GBK" w:cs="Times New Roman"/>
          <w:sz w:val="32"/>
          <w:szCs w:val="32"/>
          <w:lang w:eastAsia="zh-CN"/>
        </w:rPr>
        <w:t>单位</w:t>
      </w:r>
      <w:r>
        <w:rPr>
          <w:rFonts w:hint="default" w:ascii="Times New Roman" w:hAnsi="Times New Roman" w:eastAsia="方正仿宋_GBK" w:cs="Times New Roman"/>
          <w:sz w:val="32"/>
          <w:szCs w:val="32"/>
        </w:rPr>
        <w:t>预算管理。收入包括：一般公共预算收入、</w:t>
      </w:r>
      <w:r>
        <w:rPr>
          <w:rFonts w:hint="eastAsia" w:ascii="Times New Roman" w:hAnsi="Times New Roman" w:eastAsia="方正仿宋_GBK" w:cs="Times New Roman"/>
          <w:sz w:val="32"/>
          <w:szCs w:val="32"/>
          <w:lang w:eastAsia="zh-CN"/>
        </w:rPr>
        <w:t>其他收入、上年结转</w:t>
      </w:r>
      <w:r>
        <w:rPr>
          <w:rFonts w:hint="default" w:ascii="Times New Roman" w:hAnsi="Times New Roman" w:eastAsia="方正仿宋_GBK" w:cs="Times New Roman"/>
          <w:sz w:val="32"/>
          <w:szCs w:val="32"/>
        </w:rPr>
        <w:t>；支出包括：社会保障和就业支出</w:t>
      </w:r>
      <w:r>
        <w:rPr>
          <w:rFonts w:hint="default" w:ascii="Times New Roman" w:hAnsi="Times New Roman" w:eastAsia="方正仿宋_GBK" w:cs="Times New Roman"/>
          <w:sz w:val="32"/>
          <w:szCs w:val="32"/>
          <w:lang w:eastAsia="zh-CN"/>
        </w:rPr>
        <w:t>、卫生健康支出、住房保障支出</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val="en-US" w:eastAsia="zh-CN"/>
        </w:rPr>
        <w:t>三亚市退役军人服务中心2022年</w:t>
      </w:r>
      <w:r>
        <w:rPr>
          <w:rFonts w:hint="default" w:ascii="Times New Roman" w:hAnsi="Times New Roman" w:eastAsia="方正仿宋_GBK" w:cs="Times New Roman"/>
          <w:sz w:val="32"/>
          <w:szCs w:val="32"/>
        </w:rPr>
        <w:t>收支总预算</w:t>
      </w:r>
      <w:r>
        <w:rPr>
          <w:rFonts w:hint="eastAsia" w:ascii="Times New Roman" w:hAnsi="Times New Roman" w:eastAsia="方正仿宋_GBK" w:cs="Times New Roman"/>
          <w:sz w:val="32"/>
          <w:szCs w:val="32"/>
          <w:lang w:val="en-US" w:eastAsia="zh-CN"/>
        </w:rPr>
        <w:t>4050.85</w:t>
      </w:r>
      <w:r>
        <w:rPr>
          <w:rFonts w:hint="default" w:ascii="Times New Roman" w:hAnsi="Times New Roman" w:eastAsia="方正仿宋_GBK" w:cs="Times New Roman"/>
          <w:sz w:val="32"/>
          <w:szCs w:val="32"/>
        </w:rPr>
        <w:t>万元。</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_GBK" w:cs="Times New Roman"/>
          <w:sz w:val="32"/>
          <w:shd w:val="clear" w:color="auto" w:fill="FFFFFF"/>
        </w:rPr>
      </w:pPr>
      <w:r>
        <w:rPr>
          <w:rFonts w:hint="default" w:ascii="Times New Roman" w:hAnsi="Times New Roman" w:eastAsia="方正黑体_GBK" w:cs="Times New Roman"/>
          <w:sz w:val="32"/>
          <w:szCs w:val="32"/>
          <w:lang w:val="en-US" w:eastAsia="zh-CN"/>
        </w:rPr>
        <w:t>七、关于三亚市退役军人服务中心2022年收入预算情况说明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sz w:val="32"/>
          <w:szCs w:val="32"/>
          <w:lang w:val="en-US" w:eastAsia="zh-CN"/>
        </w:rPr>
        <w:t>三亚市退役军人服务中心2022年</w:t>
      </w:r>
      <w:r>
        <w:rPr>
          <w:rFonts w:hint="default" w:ascii="Times New Roman" w:hAnsi="Times New Roman" w:eastAsia="方正仿宋_GBK" w:cs="Times New Roman"/>
          <w:sz w:val="32"/>
          <w:szCs w:val="32"/>
        </w:rPr>
        <w:t>收入预算</w:t>
      </w:r>
      <w:r>
        <w:rPr>
          <w:rFonts w:hint="eastAsia" w:ascii="Times New Roman" w:hAnsi="Times New Roman" w:eastAsia="方正仿宋_GBK" w:cs="Times New Roman"/>
          <w:sz w:val="32"/>
          <w:szCs w:val="32"/>
          <w:lang w:val="en-US" w:eastAsia="zh-CN"/>
        </w:rPr>
        <w:t>4050.85</w:t>
      </w:r>
      <w:r>
        <w:rPr>
          <w:rFonts w:hint="default" w:ascii="Times New Roman" w:hAnsi="Times New Roman" w:eastAsia="方正仿宋_GBK" w:cs="Times New Roman"/>
          <w:sz w:val="32"/>
          <w:szCs w:val="32"/>
        </w:rPr>
        <w:t>万元，其中：上年结转</w:t>
      </w:r>
      <w:r>
        <w:rPr>
          <w:rFonts w:hint="eastAsia" w:ascii="Times New Roman" w:hAnsi="Times New Roman" w:eastAsia="方正仿宋_GBK" w:cs="Times New Roman"/>
          <w:sz w:val="32"/>
          <w:szCs w:val="32"/>
          <w:lang w:val="en-US" w:eastAsia="zh-CN"/>
        </w:rPr>
        <w:t>1019.35</w:t>
      </w:r>
      <w:r>
        <w:rPr>
          <w:rFonts w:hint="default" w:ascii="Times New Roman" w:hAnsi="Times New Roman" w:eastAsia="方正仿宋_GBK" w:cs="Times New Roman"/>
          <w:sz w:val="32"/>
          <w:szCs w:val="32"/>
        </w:rPr>
        <w:t>万元，占</w:t>
      </w:r>
      <w:r>
        <w:rPr>
          <w:rFonts w:hint="eastAsia" w:ascii="Times New Roman" w:hAnsi="Times New Roman" w:eastAsia="方正仿宋_GBK" w:cs="Times New Roman"/>
          <w:sz w:val="32"/>
          <w:szCs w:val="32"/>
          <w:lang w:val="en-US" w:eastAsia="zh-CN"/>
        </w:rPr>
        <w:t>25.16</w:t>
      </w:r>
      <w:r>
        <w:rPr>
          <w:rFonts w:hint="default" w:ascii="Times New Roman" w:hAnsi="Times New Roman" w:eastAsia="方正仿宋_GBK" w:cs="Times New Roman"/>
          <w:sz w:val="32"/>
          <w:szCs w:val="32"/>
        </w:rPr>
        <w:t>%；经费拨款收入</w:t>
      </w:r>
      <w:r>
        <w:rPr>
          <w:rFonts w:hint="default" w:ascii="Times New Roman" w:hAnsi="Times New Roman" w:eastAsia="方正仿宋_GBK" w:cs="Times New Roman"/>
          <w:sz w:val="32"/>
          <w:szCs w:val="32"/>
          <w:lang w:val="en-US" w:eastAsia="zh-CN"/>
        </w:rPr>
        <w:t>2831.5</w:t>
      </w:r>
      <w:r>
        <w:rPr>
          <w:rFonts w:hint="default" w:ascii="Times New Roman" w:hAnsi="Times New Roman" w:eastAsia="方正仿宋_GBK" w:cs="Times New Roman"/>
          <w:sz w:val="32"/>
          <w:szCs w:val="32"/>
        </w:rPr>
        <w:t>万元，占</w:t>
      </w:r>
      <w:r>
        <w:rPr>
          <w:rFonts w:hint="eastAsia" w:ascii="Times New Roman" w:hAnsi="Times New Roman" w:eastAsia="方正仿宋_GBK" w:cs="Times New Roman"/>
          <w:sz w:val="32"/>
          <w:szCs w:val="32"/>
          <w:lang w:val="en-US" w:eastAsia="zh-CN"/>
        </w:rPr>
        <w:t>74.84</w:t>
      </w:r>
      <w:r>
        <w:rPr>
          <w:rFonts w:hint="default" w:ascii="Times New Roman" w:hAnsi="Times New Roman" w:eastAsia="方正仿宋_GBK" w:cs="Times New Roman"/>
          <w:sz w:val="32"/>
          <w:szCs w:val="32"/>
        </w:rPr>
        <w:t>%；政府性基金收入</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万元，占</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%；专项收入</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万元，占</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color w:val="auto"/>
          <w:sz w:val="32"/>
          <w:szCs w:val="32"/>
        </w:rPr>
        <w:t>比上年预算数</w:t>
      </w:r>
      <w:r>
        <w:rPr>
          <w:rFonts w:hint="default" w:ascii="Times New Roman" w:hAnsi="Times New Roman" w:eastAsia="方正仿宋_GBK" w:cs="Times New Roman"/>
          <w:color w:val="auto"/>
          <w:sz w:val="32"/>
          <w:szCs w:val="32"/>
          <w:lang w:val="en-US" w:eastAsia="zh-CN"/>
        </w:rPr>
        <w:t>下降613.94</w:t>
      </w:r>
      <w:r>
        <w:rPr>
          <w:rFonts w:hint="default" w:ascii="Times New Roman" w:hAnsi="Times New Roman" w:eastAsia="方正仿宋_GBK" w:cs="Times New Roman"/>
          <w:color w:val="auto"/>
          <w:sz w:val="32"/>
          <w:szCs w:val="32"/>
        </w:rPr>
        <w:t>万元，主要</w:t>
      </w:r>
      <w:r>
        <w:rPr>
          <w:rFonts w:hint="default" w:ascii="Times New Roman" w:hAnsi="Times New Roman" w:eastAsia="方正仿宋_GBK" w:cs="Times New Roman"/>
          <w:color w:val="auto"/>
          <w:sz w:val="32"/>
          <w:szCs w:val="32"/>
          <w:lang w:val="en-US" w:eastAsia="zh-CN"/>
        </w:rPr>
        <w:t>原因是部分退役士兵社保接续业务已收尾，使用资金减少。</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_GBK" w:cs="Times New Roman"/>
          <w:sz w:val="32"/>
          <w:shd w:val="clear" w:color="auto" w:fill="FFFFFF"/>
        </w:rPr>
      </w:pPr>
      <w:r>
        <w:rPr>
          <w:rFonts w:hint="default" w:ascii="Times New Roman" w:hAnsi="Times New Roman" w:eastAsia="方正黑体_GBK" w:cs="Times New Roman"/>
          <w:sz w:val="32"/>
          <w:szCs w:val="32"/>
          <w:lang w:val="en-US" w:eastAsia="zh-CN"/>
        </w:rPr>
        <w:t>八、关于三亚市退役军人服务中心2022年支出预算情况说明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sz w:val="32"/>
          <w:szCs w:val="32"/>
          <w:lang w:val="en-US" w:eastAsia="zh-CN"/>
        </w:rPr>
        <w:t>三亚市退役军人服务中心2022年</w:t>
      </w:r>
      <w:r>
        <w:rPr>
          <w:rFonts w:hint="default" w:ascii="Times New Roman" w:hAnsi="Times New Roman" w:eastAsia="方正仿宋_GBK" w:cs="Times New Roman"/>
          <w:sz w:val="32"/>
          <w:szCs w:val="32"/>
        </w:rPr>
        <w:t>支出预算</w:t>
      </w:r>
      <w:r>
        <w:rPr>
          <w:rFonts w:hint="eastAsia" w:ascii="Times New Roman" w:hAnsi="Times New Roman" w:eastAsia="方正仿宋_GBK" w:cs="Times New Roman"/>
          <w:sz w:val="32"/>
          <w:szCs w:val="32"/>
          <w:lang w:val="en-US" w:eastAsia="zh-CN"/>
        </w:rPr>
        <w:t>3850.85</w:t>
      </w:r>
      <w:r>
        <w:rPr>
          <w:rFonts w:hint="default" w:ascii="Times New Roman" w:hAnsi="Times New Roman" w:eastAsia="方正仿宋_GBK" w:cs="Times New Roman"/>
          <w:sz w:val="32"/>
          <w:szCs w:val="32"/>
        </w:rPr>
        <w:t>万元，其中：基本支出</w:t>
      </w:r>
      <w:r>
        <w:rPr>
          <w:rFonts w:hint="default" w:ascii="Times New Roman" w:hAnsi="Times New Roman" w:eastAsia="方正仿宋_GBK" w:cs="Times New Roman"/>
          <w:sz w:val="32"/>
          <w:szCs w:val="32"/>
          <w:lang w:val="en-US" w:eastAsia="zh-CN"/>
        </w:rPr>
        <w:t>158.2</w:t>
      </w:r>
      <w:r>
        <w:rPr>
          <w:rFonts w:hint="default" w:ascii="Times New Roman" w:hAnsi="Times New Roman" w:eastAsia="方正仿宋_GBK" w:cs="Times New Roman"/>
          <w:sz w:val="32"/>
          <w:szCs w:val="32"/>
        </w:rPr>
        <w:t>万元，占</w:t>
      </w:r>
      <w:r>
        <w:rPr>
          <w:rFonts w:hint="eastAsia" w:ascii="Times New Roman" w:hAnsi="Times New Roman" w:eastAsia="方正仿宋_GBK" w:cs="Times New Roman"/>
          <w:sz w:val="32"/>
          <w:szCs w:val="32"/>
          <w:lang w:val="en-US" w:eastAsia="zh-CN"/>
        </w:rPr>
        <w:t>4.11</w:t>
      </w:r>
      <w:r>
        <w:rPr>
          <w:rFonts w:hint="default" w:ascii="Times New Roman" w:hAnsi="Times New Roman" w:eastAsia="方正仿宋_GBK" w:cs="Times New Roman"/>
          <w:sz w:val="32"/>
          <w:szCs w:val="32"/>
        </w:rPr>
        <w:t>%；项目支出</w:t>
      </w:r>
      <w:r>
        <w:rPr>
          <w:rFonts w:hint="eastAsia" w:ascii="Times New Roman" w:hAnsi="Times New Roman" w:eastAsia="方正仿宋_GBK" w:cs="Times New Roman"/>
          <w:sz w:val="32"/>
          <w:szCs w:val="32"/>
          <w:lang w:val="en-US" w:eastAsia="zh-CN"/>
        </w:rPr>
        <w:t>3692.65</w:t>
      </w:r>
      <w:r>
        <w:rPr>
          <w:rFonts w:hint="default" w:ascii="Times New Roman" w:hAnsi="Times New Roman" w:eastAsia="方正仿宋_GBK" w:cs="Times New Roman"/>
          <w:sz w:val="32"/>
          <w:szCs w:val="32"/>
        </w:rPr>
        <w:t>万元，占</w:t>
      </w:r>
      <w:r>
        <w:rPr>
          <w:rFonts w:hint="default" w:ascii="Times New Roman" w:hAnsi="Times New Roman" w:eastAsia="方正仿宋_GBK" w:cs="Times New Roman"/>
          <w:sz w:val="32"/>
          <w:szCs w:val="32"/>
          <w:lang w:val="en-US" w:eastAsia="zh-CN"/>
        </w:rPr>
        <w:t>95.</w:t>
      </w:r>
      <w:r>
        <w:rPr>
          <w:rFonts w:hint="eastAsia" w:ascii="Times New Roman" w:hAnsi="Times New Roman" w:eastAsia="方正仿宋_GBK" w:cs="Times New Roman"/>
          <w:sz w:val="32"/>
          <w:szCs w:val="32"/>
          <w:lang w:val="en-US" w:eastAsia="zh-CN"/>
        </w:rPr>
        <w:t>89</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color w:val="auto"/>
          <w:sz w:val="32"/>
          <w:szCs w:val="32"/>
        </w:rPr>
        <w:t>比上年预算数</w:t>
      </w:r>
      <w:r>
        <w:rPr>
          <w:rFonts w:hint="default" w:ascii="Times New Roman" w:hAnsi="Times New Roman" w:eastAsia="方正仿宋_GBK" w:cs="Times New Roman"/>
          <w:color w:val="auto"/>
          <w:sz w:val="32"/>
          <w:szCs w:val="32"/>
          <w:lang w:val="en-US" w:eastAsia="zh-CN"/>
        </w:rPr>
        <w:t>下降613.94</w:t>
      </w:r>
      <w:r>
        <w:rPr>
          <w:rFonts w:hint="default" w:ascii="Times New Roman" w:hAnsi="Times New Roman" w:eastAsia="方正仿宋_GBK" w:cs="Times New Roman"/>
          <w:color w:val="auto"/>
          <w:sz w:val="32"/>
          <w:szCs w:val="32"/>
        </w:rPr>
        <w:t>万元，主要</w:t>
      </w:r>
      <w:r>
        <w:rPr>
          <w:rFonts w:hint="default" w:ascii="Times New Roman" w:hAnsi="Times New Roman" w:eastAsia="方正仿宋_GBK" w:cs="Times New Roman"/>
          <w:color w:val="auto"/>
          <w:sz w:val="32"/>
          <w:szCs w:val="32"/>
          <w:lang w:val="en-US" w:eastAsia="zh-CN"/>
        </w:rPr>
        <w:t>原因是部分退役士兵社保接续业务已收尾，使用资金减少。</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hint="default" w:ascii="Times New Roman" w:hAnsi="Times New Roman" w:eastAsia="方正仿宋_GBK" w:cs="Times New Roman"/>
          <w:sz w:val="32"/>
          <w:szCs w:val="32"/>
          <w:lang w:val="en-US" w:eastAsia="zh-CN"/>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三亚市退役军人服务中心</w:t>
      </w:r>
      <w:r>
        <w:rPr>
          <w:rFonts w:hint="eastAsia" w:ascii="仿宋_GB2312" w:hAnsi="黑体" w:eastAsia="仿宋_GB2312" w:cs="仿宋_GB2312"/>
          <w:sz w:val="32"/>
          <w:szCs w:val="32"/>
        </w:rPr>
        <w:t>的机关运行经费预算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方正仿宋_GBK" w:cs="Times New Roman"/>
          <w:sz w:val="32"/>
          <w:szCs w:val="32"/>
          <w:lang w:val="en-US" w:eastAsia="zh-CN"/>
        </w:rPr>
        <w:t>，我中心为全额事业单位，无此项经费。</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（二）政府采购情况</w:t>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2022</w:t>
      </w:r>
      <w:r>
        <w:rPr>
          <w:rFonts w:hint="default" w:ascii="Times New Roman" w:hAnsi="Times New Roman" w:eastAsia="方正仿宋_GBK" w:cs="Times New Roman"/>
          <w:sz w:val="32"/>
          <w:szCs w:val="32"/>
          <w:lang w:val="en-US" w:eastAsia="zh-CN"/>
        </w:rPr>
        <w:t>年三亚市退役军人服务中心</w:t>
      </w:r>
      <w:r>
        <w:rPr>
          <w:rFonts w:hint="default" w:ascii="Times New Roman" w:hAnsi="Times New Roman" w:eastAsia="方正仿宋_GBK" w:cs="Times New Roman"/>
          <w:sz w:val="32"/>
          <w:szCs w:val="32"/>
        </w:rPr>
        <w:t>政府采购预算总额</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万元，其中：政府采购货物预算</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万元，政府采购工程预算</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万元，政府采购服务预算</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（三）国有资产占有使用情况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截至</w:t>
      </w:r>
      <w:r>
        <w:rPr>
          <w:rFonts w:hint="default" w:ascii="Times New Roman" w:hAnsi="Times New Roman" w:eastAsia="方正仿宋_GBK" w:cs="Times New Roman"/>
          <w:sz w:val="32"/>
          <w:szCs w:val="32"/>
          <w:lang w:val="en-US" w:eastAsia="zh-CN"/>
        </w:rPr>
        <w:t>202</w:t>
      </w:r>
      <w:r>
        <w:rPr>
          <w:rFonts w:hint="eastAsia"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年12月31日，</w:t>
      </w:r>
      <w:r>
        <w:rPr>
          <w:rFonts w:hint="default" w:ascii="Times New Roman" w:hAnsi="Times New Roman" w:eastAsia="方正仿宋_GBK" w:cs="Times New Roman"/>
          <w:sz w:val="32"/>
          <w:szCs w:val="32"/>
          <w:lang w:val="en-US" w:eastAsia="zh-CN"/>
        </w:rPr>
        <w:t>三亚市退役军人服务中心</w:t>
      </w:r>
      <w:r>
        <w:rPr>
          <w:rFonts w:hint="default" w:ascii="Times New Roman" w:hAnsi="Times New Roman" w:eastAsia="方正仿宋_GBK" w:cs="Times New Roman"/>
          <w:sz w:val="32"/>
          <w:szCs w:val="32"/>
        </w:rPr>
        <w:t>本级及下属各预算单位共有车辆</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辆，其中，领导干部用车</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辆，机要通信应急用车</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辆、一般执法执勤用车</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辆、特种专业技术用车</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辆、其他用车</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辆。单位价值100万元以上设备</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台（套）。</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（四）绩效目标设置情况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2022</w:t>
      </w:r>
      <w:r>
        <w:rPr>
          <w:rFonts w:hint="default" w:ascii="Times New Roman" w:hAnsi="Times New Roman" w:eastAsia="方正仿宋_GBK" w:cs="Times New Roman"/>
          <w:sz w:val="32"/>
          <w:szCs w:val="32"/>
          <w:lang w:val="en-US" w:eastAsia="zh-CN"/>
        </w:rPr>
        <w:t>年三亚市退役军人服务中心4</w:t>
      </w:r>
      <w:r>
        <w:rPr>
          <w:rFonts w:hint="default" w:ascii="Times New Roman" w:hAnsi="Times New Roman" w:eastAsia="方正仿宋_GBK" w:cs="Times New Roman"/>
          <w:sz w:val="32"/>
          <w:szCs w:val="32"/>
        </w:rPr>
        <w:t>个项目实行绩效目标管理，涉及一般公共预算</w:t>
      </w:r>
      <w:r>
        <w:rPr>
          <w:rFonts w:hint="default" w:ascii="Times New Roman" w:hAnsi="Times New Roman" w:eastAsia="方正仿宋_GBK" w:cs="Times New Roman"/>
          <w:sz w:val="32"/>
          <w:szCs w:val="32"/>
          <w:lang w:val="en-US" w:eastAsia="zh-CN"/>
        </w:rPr>
        <w:t>2831.5</w:t>
      </w:r>
      <w:r>
        <w:rPr>
          <w:rFonts w:hint="default" w:ascii="Times New Roman" w:hAnsi="Times New Roman" w:eastAsia="方正仿宋_GBK" w:cs="Times New Roman"/>
          <w:sz w:val="32"/>
          <w:szCs w:val="32"/>
        </w:rPr>
        <w:t>万元、政府性基金</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w:t>
      </w: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default" w:ascii="Times New Roman" w:hAnsi="Times New Roman" w:eastAsia="方正仿宋_GBK" w:cs="Times New Roman"/>
          <w:sz w:val="32"/>
          <w:szCs w:val="32"/>
        </w:rPr>
      </w:pPr>
    </w:p>
    <w:p>
      <w:pPr>
        <w:keepNext w:val="0"/>
        <w:keepLines w:val="0"/>
        <w:pageBreakBefore w:val="0"/>
        <w:widowControl w:val="0"/>
        <w:kinsoku/>
        <w:wordWrap/>
        <w:overflowPunct/>
        <w:topLinePunct w:val="0"/>
        <w:autoSpaceDE/>
        <w:autoSpaceDN/>
        <w:bidi w:val="0"/>
        <w:adjustRightInd/>
        <w:snapToGrid/>
        <w:spacing w:line="578" w:lineRule="exact"/>
        <w:jc w:val="left"/>
        <w:textAlignment w:val="auto"/>
        <w:rPr>
          <w:rFonts w:hint="default" w:ascii="Times New Roman" w:hAnsi="Times New Roman" w:eastAsia="方正仿宋_GBK" w:cs="Times New Roman"/>
          <w:color w:val="000000"/>
          <w:kern w:val="0"/>
          <w:sz w:val="32"/>
          <w:szCs w:val="30"/>
        </w:rPr>
      </w:pP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default" w:ascii="Times New Roman" w:hAnsi="Times New Roman" w:eastAsia="方正黑体_GBK" w:cs="Times New Roman"/>
          <w:b w:val="0"/>
          <w:bCs/>
          <w:sz w:val="32"/>
          <w:szCs w:val="32"/>
        </w:rPr>
      </w:pPr>
      <w:r>
        <w:rPr>
          <w:rFonts w:hint="default" w:ascii="Times New Roman" w:hAnsi="Times New Roman" w:eastAsia="方正黑体_GBK" w:cs="Times New Roman"/>
          <w:b w:val="0"/>
          <w:bCs/>
          <w:sz w:val="32"/>
          <w:szCs w:val="32"/>
        </w:rPr>
        <w:t>第四部分  名词解释</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default" w:ascii="Times New Roman" w:hAnsi="Times New Roman" w:eastAsia="方正仿宋_GBK" w:cs="Times New Roman"/>
          <w:bCs/>
          <w:color w:val="000000"/>
          <w:kern w:val="0"/>
          <w:sz w:val="32"/>
          <w:szCs w:val="32"/>
          <w:lang w:val="zh-CN"/>
        </w:rPr>
      </w:pP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default" w:ascii="Times New Roman" w:hAnsi="Times New Roman" w:eastAsia="方正仿宋_GBK" w:cs="Times New Roman"/>
          <w:color w:val="000000"/>
          <w:kern w:val="0"/>
          <w:sz w:val="32"/>
          <w:szCs w:val="30"/>
        </w:rPr>
      </w:pPr>
      <w:r>
        <w:rPr>
          <w:rFonts w:hint="default" w:ascii="Times New Roman" w:hAnsi="Times New Roman" w:eastAsia="方正仿宋_GBK" w:cs="Times New Roman"/>
          <w:color w:val="000000"/>
          <w:kern w:val="0"/>
          <w:sz w:val="32"/>
          <w:szCs w:val="30"/>
        </w:rPr>
        <w:t>一、财政拨款收入：指本级财政当年拨付的资金。</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default" w:ascii="Times New Roman" w:hAnsi="Times New Roman" w:eastAsia="方正仿宋_GBK" w:cs="Times New Roman"/>
          <w:color w:val="000000"/>
          <w:kern w:val="0"/>
          <w:sz w:val="32"/>
          <w:szCs w:val="30"/>
        </w:rPr>
      </w:pPr>
      <w:r>
        <w:rPr>
          <w:rFonts w:hint="default" w:ascii="Times New Roman" w:hAnsi="Times New Roman" w:eastAsia="方正仿宋_GBK" w:cs="Times New Roman"/>
          <w:color w:val="000000"/>
          <w:kern w:val="0"/>
          <w:sz w:val="32"/>
          <w:szCs w:val="30"/>
        </w:rPr>
        <w:t>二、事业收入：指事业单位开展专业业务活动及辅助活动取得的收入。</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default" w:ascii="Times New Roman" w:hAnsi="Times New Roman" w:eastAsia="方正仿宋_GBK" w:cs="Times New Roman"/>
          <w:color w:val="000000"/>
          <w:kern w:val="0"/>
          <w:sz w:val="32"/>
          <w:szCs w:val="30"/>
        </w:rPr>
      </w:pPr>
      <w:r>
        <w:rPr>
          <w:rFonts w:hint="default" w:ascii="Times New Roman" w:hAnsi="Times New Roman" w:eastAsia="方正仿宋_GBK" w:cs="Times New Roman"/>
          <w:color w:val="000000"/>
          <w:kern w:val="0"/>
          <w:sz w:val="32"/>
          <w:szCs w:val="30"/>
        </w:rPr>
        <w:t>三、经营收入：指事业单位在专业业务活动及其辅助活动之外开展非独立核算经营活动取得的收入。</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default" w:ascii="Times New Roman" w:hAnsi="Times New Roman" w:eastAsia="方正仿宋_GBK" w:cs="Times New Roman"/>
          <w:color w:val="000000"/>
          <w:kern w:val="0"/>
          <w:sz w:val="32"/>
          <w:szCs w:val="30"/>
        </w:rPr>
      </w:pPr>
      <w:r>
        <w:rPr>
          <w:rFonts w:hint="default" w:ascii="Times New Roman" w:hAnsi="Times New Roman" w:eastAsia="方正仿宋_GBK" w:cs="Times New Roman"/>
          <w:color w:val="000000"/>
          <w:kern w:val="0"/>
          <w:sz w:val="32"/>
          <w:szCs w:val="30"/>
        </w:rPr>
        <w:t>四、其他收入：指除上述“财政拨款收入”“事业收入”“经营收入”等以外的收入。</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default" w:ascii="Times New Roman" w:hAnsi="Times New Roman" w:eastAsia="方正仿宋_GBK" w:cs="Times New Roman"/>
          <w:color w:val="000000"/>
          <w:kern w:val="0"/>
          <w:sz w:val="32"/>
          <w:szCs w:val="30"/>
        </w:rPr>
      </w:pPr>
      <w:r>
        <w:rPr>
          <w:rFonts w:hint="default" w:ascii="Times New Roman" w:hAnsi="Times New Roman" w:eastAsia="方正仿宋_GBK" w:cs="Times New Roman"/>
          <w:color w:val="000000"/>
          <w:kern w:val="0"/>
          <w:sz w:val="32"/>
          <w:szCs w:val="30"/>
        </w:rPr>
        <w:t>五、年初结转和结余：指以前年度尚未完成、结转到本年按有关规定继续使用的资金。</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default" w:ascii="Times New Roman" w:hAnsi="Times New Roman" w:eastAsia="方正仿宋_GBK" w:cs="Times New Roman"/>
          <w:color w:val="000000"/>
          <w:kern w:val="0"/>
          <w:sz w:val="32"/>
          <w:szCs w:val="30"/>
        </w:rPr>
      </w:pPr>
      <w:r>
        <w:rPr>
          <w:rFonts w:hint="default" w:ascii="Times New Roman" w:hAnsi="Times New Roman" w:eastAsia="方正仿宋_GBK" w:cs="Times New Roman"/>
          <w:color w:val="000000"/>
          <w:kern w:val="0"/>
          <w:sz w:val="32"/>
          <w:szCs w:val="30"/>
        </w:rPr>
        <w:t xml:space="preserve">六、基本支出：指行政事业单位用于为保障其机构正常运转、完成日常工作任务而发生的人员支出和公用支出。   </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default" w:ascii="Times New Roman" w:hAnsi="Times New Roman" w:eastAsia="方正仿宋_GBK" w:cs="Times New Roman"/>
          <w:color w:val="000000"/>
          <w:kern w:val="0"/>
          <w:sz w:val="32"/>
          <w:szCs w:val="30"/>
        </w:rPr>
      </w:pPr>
      <w:r>
        <w:rPr>
          <w:rFonts w:hint="default" w:ascii="Times New Roman" w:hAnsi="Times New Roman" w:eastAsia="方正仿宋_GBK" w:cs="Times New Roman"/>
          <w:color w:val="000000"/>
          <w:kern w:val="0"/>
          <w:sz w:val="32"/>
          <w:szCs w:val="30"/>
        </w:rPr>
        <w:t>七、工资福利支出：反映单位开支的在职职工和编制外长期聘用人员的各类劳动报酬，以及为上述人员缴纳的各项社会保险费等。</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default" w:ascii="Times New Roman" w:hAnsi="Times New Roman" w:eastAsia="方正仿宋_GBK" w:cs="Times New Roman"/>
          <w:color w:val="000000"/>
          <w:kern w:val="0"/>
          <w:sz w:val="32"/>
          <w:szCs w:val="30"/>
        </w:rPr>
      </w:pPr>
      <w:r>
        <w:rPr>
          <w:rFonts w:hint="default" w:ascii="Times New Roman" w:hAnsi="Times New Roman" w:eastAsia="方正仿宋_GBK" w:cs="Times New Roman"/>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default" w:ascii="Times New Roman" w:hAnsi="Times New Roman" w:eastAsia="方正仿宋_GBK" w:cs="Times New Roman"/>
          <w:color w:val="000000"/>
          <w:kern w:val="0"/>
          <w:sz w:val="32"/>
          <w:szCs w:val="30"/>
        </w:rPr>
      </w:pPr>
      <w:r>
        <w:rPr>
          <w:rFonts w:hint="default" w:ascii="Times New Roman" w:hAnsi="Times New Roman" w:eastAsia="方正仿宋_GBK" w:cs="Times New Roman"/>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default" w:ascii="Times New Roman" w:hAnsi="Times New Roman" w:eastAsia="方正仿宋_GBK" w:cs="Times New Roman"/>
          <w:color w:val="000000"/>
          <w:kern w:val="0"/>
          <w:sz w:val="32"/>
          <w:szCs w:val="30"/>
        </w:rPr>
      </w:pPr>
      <w:r>
        <w:rPr>
          <w:rFonts w:hint="default" w:ascii="Times New Roman" w:hAnsi="Times New Roman" w:eastAsia="方正仿宋_GBK" w:cs="Times New Roman"/>
          <w:color w:val="000000"/>
          <w:kern w:val="0"/>
          <w:sz w:val="32"/>
          <w:szCs w:val="30"/>
        </w:rPr>
        <w:t>十、项目支出：指各部门、各单位为完成其特定的工作任务和事业发展目标所发生的支出。</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default" w:ascii="Times New Roman" w:hAnsi="Times New Roman" w:eastAsia="方正仿宋_GBK" w:cs="Times New Roman"/>
          <w:color w:val="000000"/>
          <w:kern w:val="0"/>
          <w:sz w:val="32"/>
          <w:szCs w:val="30"/>
        </w:rPr>
      </w:pPr>
      <w:r>
        <w:rPr>
          <w:rFonts w:hint="default" w:ascii="Times New Roman" w:hAnsi="Times New Roman" w:eastAsia="方正仿宋_GBK" w:cs="Times New Roman"/>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default" w:ascii="Times New Roman" w:hAnsi="Times New Roman" w:cs="Times New Roman"/>
        </w:rPr>
      </w:pPr>
      <w:r>
        <w:rPr>
          <w:rFonts w:hint="default" w:ascii="Times New Roman" w:hAnsi="Times New Roman" w:eastAsia="方正仿宋_GBK" w:cs="Times New Roman"/>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F8DF4ECD-2ABB-423E-84C0-4F2FA92B7F4E}"/>
  </w:font>
  <w:font w:name="Arial">
    <w:panose1 w:val="020B0604020202020204"/>
    <w:charset w:val="01"/>
    <w:family w:val="swiss"/>
    <w:pitch w:val="default"/>
    <w:sig w:usb0="E0002EFF" w:usb1="C000785B" w:usb2="00000009" w:usb3="00000000" w:csb0="400001FF" w:csb1="FFFF0000"/>
    <w:embedRegular r:id="rId2" w:fontKey="{F2CA3A2B-6884-4C8D-B485-AA97AA3E7443}"/>
  </w:font>
  <w:font w:name="黑体">
    <w:panose1 w:val="02010609060101010101"/>
    <w:charset w:val="86"/>
    <w:family w:val="auto"/>
    <w:pitch w:val="default"/>
    <w:sig w:usb0="800002BF" w:usb1="38CF7CFA" w:usb2="00000016" w:usb3="00000000" w:csb0="00040001" w:csb1="00000000"/>
    <w:embedRegular r:id="rId3" w:fontKey="{97C898A4-1FE3-40A7-AEA2-9FE47A9EA3B1}"/>
  </w:font>
  <w:font w:name="Courier New">
    <w:panose1 w:val="02070309020205020404"/>
    <w:charset w:val="01"/>
    <w:family w:val="modern"/>
    <w:pitch w:val="default"/>
    <w:sig w:usb0="E0002EFF" w:usb1="C0007843" w:usb2="00000009" w:usb3="00000000" w:csb0="400001FF" w:csb1="FFFF0000"/>
    <w:embedRegular r:id="rId4" w:fontKey="{BFAFE3AE-AAB8-4D8D-9894-1F21628D38BE}"/>
  </w:font>
  <w:font w:name="Symbol">
    <w:panose1 w:val="05050102010706020507"/>
    <w:charset w:val="02"/>
    <w:family w:val="roman"/>
    <w:pitch w:val="default"/>
    <w:sig w:usb0="00000000" w:usb1="00000000" w:usb2="00000000" w:usb3="00000000" w:csb0="80000000" w:csb1="00000000"/>
    <w:embedRegular r:id="rId5" w:fontKey="{E8DA9997-13F2-4614-994E-A04465BFBE18}"/>
  </w:font>
  <w:font w:name="Calibri">
    <w:panose1 w:val="020F0502020204030204"/>
    <w:charset w:val="00"/>
    <w:family w:val="swiss"/>
    <w:pitch w:val="default"/>
    <w:sig w:usb0="E4002EFF" w:usb1="C000247B" w:usb2="00000009" w:usb3="00000000" w:csb0="200001FF" w:csb1="00000000"/>
    <w:embedRegular r:id="rId6" w:fontKey="{74B8A11F-EB75-4B06-A8A6-F58EDC4FE275}"/>
  </w:font>
  <w:font w:name="方正小标宋简体">
    <w:panose1 w:val="03000509000000000000"/>
    <w:charset w:val="86"/>
    <w:family w:val="auto"/>
    <w:pitch w:val="default"/>
    <w:sig w:usb0="00000001" w:usb1="080E0000" w:usb2="00000000" w:usb3="00000000" w:csb0="00040000" w:csb1="00000000"/>
    <w:embedRegular r:id="rId7" w:fontKey="{BE9663F6-43D3-472F-BD3D-BB16B243BC6B}"/>
  </w:font>
  <w:font w:name="方正黑体_GBK">
    <w:panose1 w:val="03000509000000000000"/>
    <w:charset w:val="86"/>
    <w:family w:val="auto"/>
    <w:pitch w:val="default"/>
    <w:sig w:usb0="00000001" w:usb1="080E0000" w:usb2="00000000" w:usb3="00000000" w:csb0="00040000" w:csb1="00000000"/>
    <w:embedRegular r:id="rId8" w:fontKey="{417DEF69-4E9A-4339-AC09-19550FF71C5B}"/>
  </w:font>
  <w:font w:name="仿宋_GB2312">
    <w:panose1 w:val="02010609030101010101"/>
    <w:charset w:val="86"/>
    <w:family w:val="auto"/>
    <w:pitch w:val="default"/>
    <w:sig w:usb0="00000001" w:usb1="080E0000" w:usb2="00000000" w:usb3="00000000" w:csb0="00040000" w:csb1="00000000"/>
    <w:embedRegular r:id="rId9" w:fontKey="{B3861E07-A6F8-49A1-8121-FA69F841D9C3}"/>
  </w:font>
  <w:font w:name="ˎ̥">
    <w:altName w:val="仿宋_GB2312"/>
    <w:panose1 w:val="00000000000000000000"/>
    <w:charset w:val="00"/>
    <w:family w:val="roman"/>
    <w:pitch w:val="default"/>
    <w:sig w:usb0="00000000" w:usb1="00000000" w:usb2="00000000" w:usb3="00000000" w:csb0="00040001" w:csb1="00000000"/>
    <w:embedRegular r:id="rId10" w:fontKey="{CB660F16-C830-4C07-B017-D4A9F897D1A8}"/>
  </w:font>
  <w:font w:name="方正仿宋_GBK">
    <w:panose1 w:val="03000509000000000000"/>
    <w:charset w:val="86"/>
    <w:family w:val="auto"/>
    <w:pitch w:val="default"/>
    <w:sig w:usb0="00000001" w:usb1="080E0000" w:usb2="00000000" w:usb3="00000000" w:csb0="00040000" w:csb1="00000000"/>
    <w:embedRegular r:id="rId11" w:fontKey="{35AF6A8B-A073-48BD-A9EC-E0C220378F92}"/>
  </w:font>
  <w:font w:name="方正楷体_GBK">
    <w:panose1 w:val="03000509000000000000"/>
    <w:charset w:val="86"/>
    <w:family w:val="auto"/>
    <w:pitch w:val="default"/>
    <w:sig w:usb0="00000001" w:usb1="080E0000" w:usb2="00000000" w:usb3="00000000" w:csb0="00040000" w:csb1="00000000"/>
    <w:embedRegular r:id="rId12" w:fontKey="{7A124970-BD34-48BA-AC92-852926443A06}"/>
  </w:font>
  <w:font w:name="楷体">
    <w:panose1 w:val="02010609060101010101"/>
    <w:charset w:val="86"/>
    <w:family w:val="auto"/>
    <w:pitch w:val="default"/>
    <w:sig w:usb0="800002BF" w:usb1="38CF7CFA" w:usb2="00000016" w:usb3="00000000" w:csb0="00040001" w:csb1="00000000"/>
    <w:embedRegular r:id="rId13" w:fontKey="{ECD92BC7-09D2-4D90-A222-1AFE7A7318F7}"/>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BBAFA0A"/>
    <w:multiLevelType w:val="singleLevel"/>
    <w:tmpl w:val="DBBAFA0A"/>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TrueType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83B74B0"/>
    <w:rsid w:val="033D08F8"/>
    <w:rsid w:val="05F31CCE"/>
    <w:rsid w:val="06BC5F9E"/>
    <w:rsid w:val="07ED7AC3"/>
    <w:rsid w:val="0A732510"/>
    <w:rsid w:val="0E892728"/>
    <w:rsid w:val="0F1F4DEA"/>
    <w:rsid w:val="10026B13"/>
    <w:rsid w:val="109B60DC"/>
    <w:rsid w:val="13D3495B"/>
    <w:rsid w:val="14BF4602"/>
    <w:rsid w:val="15971D69"/>
    <w:rsid w:val="188618D6"/>
    <w:rsid w:val="1BD8541D"/>
    <w:rsid w:val="1C5402F0"/>
    <w:rsid w:val="1CDC3F8B"/>
    <w:rsid w:val="1E256DFB"/>
    <w:rsid w:val="1F293FEA"/>
    <w:rsid w:val="210A4CAB"/>
    <w:rsid w:val="257A330E"/>
    <w:rsid w:val="296B5F85"/>
    <w:rsid w:val="2A76351D"/>
    <w:rsid w:val="2AE378D0"/>
    <w:rsid w:val="2B6F25C5"/>
    <w:rsid w:val="2BEC4AAC"/>
    <w:rsid w:val="348D21AF"/>
    <w:rsid w:val="356550F7"/>
    <w:rsid w:val="3AAD60BE"/>
    <w:rsid w:val="3AE464D2"/>
    <w:rsid w:val="3D0C6A22"/>
    <w:rsid w:val="3E202772"/>
    <w:rsid w:val="3E7E0EFB"/>
    <w:rsid w:val="3EE00DBB"/>
    <w:rsid w:val="424B4610"/>
    <w:rsid w:val="43297A93"/>
    <w:rsid w:val="4750395E"/>
    <w:rsid w:val="486E22CD"/>
    <w:rsid w:val="4BA959F8"/>
    <w:rsid w:val="4D621BD5"/>
    <w:rsid w:val="4F3C4405"/>
    <w:rsid w:val="51357C88"/>
    <w:rsid w:val="52CB7FD1"/>
    <w:rsid w:val="54A06316"/>
    <w:rsid w:val="56964407"/>
    <w:rsid w:val="57172C92"/>
    <w:rsid w:val="5840675B"/>
    <w:rsid w:val="59765B7D"/>
    <w:rsid w:val="5B551C77"/>
    <w:rsid w:val="5CAA2DDF"/>
    <w:rsid w:val="5DAD56A3"/>
    <w:rsid w:val="60870FE7"/>
    <w:rsid w:val="61584E2B"/>
    <w:rsid w:val="63C40A76"/>
    <w:rsid w:val="683B74B0"/>
    <w:rsid w:val="68A06F09"/>
    <w:rsid w:val="7116101B"/>
    <w:rsid w:val="715A04EC"/>
    <w:rsid w:val="73043352"/>
    <w:rsid w:val="73730978"/>
    <w:rsid w:val="748B063A"/>
    <w:rsid w:val="75C43F7A"/>
    <w:rsid w:val="75F14000"/>
    <w:rsid w:val="77BFC587"/>
    <w:rsid w:val="7ACA2828"/>
    <w:rsid w:val="7C9B6B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其他</Company>
  <Pages>1</Pages>
  <Words>0</Words>
  <Characters>0</Characters>
  <Lines>0</Lines>
  <Paragraphs>0</Paragraphs>
  <TotalTime>2</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2021-03-03T08:59:00Z</dcterms:created>
  <dc:creator>噢噢</dc:creator>
  <cp:lastModifiedBy>噢噢</cp:lastModifiedBy>
  <dcterms:modified xsi:type="dcterms:W3CDTF">2024-04-22T02:15:56Z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KSOSaveFontToCloudKey">
    <vt:lpwstr>968756821_embed</vt:lpwstr>
  </property>
</Properties>
</file>