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eastAsia"/>
          <w:sz w:val="52"/>
          <w:szCs w:val="52"/>
          <w:lang w:val="en-US" w:eastAsia="zh-CN"/>
        </w:rPr>
        <w:t>2022</w:t>
      </w:r>
      <w:r>
        <w:rPr>
          <w:rFonts w:hint="eastAsia"/>
          <w:b/>
          <w:bCs/>
          <w:sz w:val="52"/>
          <w:szCs w:val="52"/>
        </w:rPr>
        <w:t>年</w:t>
      </w:r>
      <w:r>
        <w:rPr>
          <w:rFonts w:hint="eastAsia"/>
          <w:b/>
          <w:bCs/>
          <w:sz w:val="52"/>
          <w:szCs w:val="52"/>
          <w:lang w:eastAsia="zh-CN"/>
        </w:rPr>
        <w:t>三亚市会计管理中心（三亚市财政国库支付局）</w:t>
      </w:r>
      <w:r>
        <w:rPr>
          <w:rFonts w:hint="eastAsia"/>
          <w:b/>
          <w:bCs/>
          <w:sz w:val="52"/>
          <w:szCs w:val="52"/>
        </w:rPr>
        <w:t>单位预算</w:t>
      </w:r>
    </w:p>
    <w:p>
      <w:pPr>
        <w:jc w:val="center"/>
        <w:rPr>
          <w:b/>
          <w:bCs/>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三亚市会计管理中心（三亚市财政国库支付局）单位</w:t>
      </w:r>
      <w:r>
        <w:rPr>
          <w:rFonts w:hint="eastAsia" w:ascii="黑体" w:hAnsi="黑体" w:eastAsia="黑体"/>
          <w:sz w:val="32"/>
          <w:szCs w:val="32"/>
        </w:rPr>
        <w:t>概况</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三亚市会计管理中心（三亚市财政国库支付局）</w:t>
      </w:r>
      <w:r>
        <w:rPr>
          <w:rFonts w:hint="eastAsia" w:ascii="黑体" w:hAnsi="黑体" w:eastAsia="黑体" w:cs="黑体"/>
          <w:sz w:val="32"/>
          <w:szCs w:val="32"/>
          <w:lang w:val="en-US" w:eastAsia="zh-CN"/>
        </w:rPr>
        <w:t>2022年单位</w:t>
      </w:r>
      <w:r>
        <w:rPr>
          <w:rFonts w:hint="eastAsia" w:ascii="黑体" w:hAnsi="黑体" w:eastAsia="黑体"/>
          <w:sz w:val="32"/>
          <w:szCs w:val="32"/>
        </w:rPr>
        <w:t>预算表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三亚市会计管理中心（三亚市财政国库支付局）单位</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三亚市会计管理中心（三亚市财政国库支付局）单位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贯彻落实财政国库收付政策及规章制度；</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参与和建立财政国库集中支付体系；</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负责市本级行政事业单位的财政国库集中支付工作，指导区级财政国库集中支付工作；</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负责市本级行政事业单位财务核算，指导区级财务核算工作；</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负责全市行政事业单位在职在编人员的工资统发工作；</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配合非税收入的收缴工作；</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负责建立和完善财政资金支付监督机制，保障财政资金安全；</w:t>
      </w:r>
    </w:p>
    <w:p>
      <w:pPr>
        <w:pStyle w:val="7"/>
        <w:numPr>
          <w:ilvl w:val="0"/>
          <w:numId w:val="4"/>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协调有关财政国库支付及会计管理事宜。</w:t>
      </w:r>
    </w:p>
    <w:p>
      <w:pPr>
        <w:pStyle w:val="7"/>
        <w:numPr>
          <w:numId w:val="0"/>
        </w:numPr>
        <w:ind w:left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二、</w:t>
      </w:r>
      <w:bookmarkStart w:id="0" w:name="_GoBack"/>
      <w:bookmarkEnd w:id="0"/>
      <w:r>
        <w:rPr>
          <w:rFonts w:hint="eastAsia" w:ascii="黑体" w:hAnsi="黑体" w:eastAsia="黑体" w:cs="黑体"/>
          <w:sz w:val="32"/>
          <w:szCs w:val="32"/>
          <w:lang w:eastAsia="zh-CN"/>
        </w:rPr>
        <w:t>机构设置</w:t>
      </w:r>
    </w:p>
    <w:p>
      <w:pPr>
        <w:pStyle w:val="7"/>
        <w:numPr>
          <w:numId w:val="0"/>
        </w:numPr>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三亚市会计管理中心（三亚市财政国库支付局）内设办公室、资金支付科、支付审核科、工资统发科、委派会计科、会计电算科和八个会计核算站。</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三亚市会计管理中心（三亚市财政国库支付局）单位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三亚市会计管理中心（三亚市财政国库支付局）</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三亚市会计管理中心（三亚市财政国库支付局）</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1973.35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1973.35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1973.35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1973.35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1575.24</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159.68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155.77</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82.66万元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三亚市会计管理中心（三亚市财政国库支付局）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1973.35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333.49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财政国库业务经费增加。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lang w:val="en-US"/>
        </w:rPr>
      </w:pPr>
      <w:r>
        <w:rPr>
          <w:rFonts w:hint="eastAsia" w:ascii="仿宋_GB2312" w:hAnsi="黑体" w:eastAsia="仿宋_GB2312" w:cs="仿宋_GB2312"/>
          <w:sz w:val="32"/>
          <w:szCs w:val="32"/>
        </w:rPr>
        <w:t>一般公共服务</w:t>
      </w:r>
      <w:r>
        <w:rPr>
          <w:rFonts w:hint="default" w:ascii="Times New Roman" w:hAnsi="Times New Roman" w:eastAsia="仿宋_GB2312" w:cs="Times New Roman"/>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1575.24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79.83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default" w:ascii="Times New Roman" w:hAnsi="Times New Roman" w:eastAsia="仿宋_GB2312" w:cs="Times New Roman"/>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159.68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8.09</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default" w:ascii="Times New Roman" w:hAnsi="Times New Roman" w:eastAsia="仿宋_GB2312" w:cs="Times New Roman"/>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155.77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7.89</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default" w:ascii="Times New Roman" w:hAnsi="Times New Roman" w:eastAsia="仿宋_GB2312" w:cs="Times New Roman"/>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82.66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财政事务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1075.24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37.61</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highlight w:val="none"/>
          <w:lang w:eastAsia="zh-CN"/>
        </w:rPr>
        <w:t>退休人员比新进人员多，人员经费和公用经费正常性减少。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财政事务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25.76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物业管理费减少。</w:t>
      </w:r>
    </w:p>
    <w:p>
      <w:pPr>
        <w:ind w:firstLine="640" w:firstLineChars="200"/>
        <w:rPr>
          <w:rFonts w:hint="eastAsia" w:ascii="仿宋_GB2312" w:hAnsi="黑体" w:eastAsia="仿宋_GB2312"/>
          <w:sz w:val="32"/>
          <w:szCs w:val="32"/>
          <w:lang w:val="en-US" w:eastAsia="zh-CN"/>
        </w:rPr>
      </w:pPr>
      <w:r>
        <w:rPr>
          <w:rFonts w:hint="default" w:ascii="Times New Roman" w:hAnsi="Times New Roman" w:eastAsia="仿宋_GB2312" w:cs="Times New Roman"/>
          <w:sz w:val="32"/>
          <w:szCs w:val="32"/>
        </w:rPr>
        <w:t>3.一般公共服务（类）财政事务（款）财政国库业务（项）</w:t>
      </w:r>
      <w:r>
        <w:rPr>
          <w:rFonts w:hint="eastAsia" w:ascii="仿宋_GB2312" w:hAnsi="黑体" w:eastAsia="仿宋_GB2312" w:cs="仿宋_GB2312"/>
          <w:sz w:val="32"/>
          <w:szCs w:val="32"/>
          <w:lang w:val="en-US" w:eastAsia="zh-CN"/>
        </w:rPr>
        <w:t>2022</w:t>
      </w:r>
      <w:r>
        <w:rPr>
          <w:rFonts w:hint="default" w:ascii="Times New Roman" w:hAnsi="Times New Roman" w:eastAsia="仿宋_GB2312" w:cs="Times New Roman"/>
          <w:sz w:val="32"/>
          <w:szCs w:val="32"/>
        </w:rPr>
        <w:t>年预算数为</w:t>
      </w:r>
      <w:r>
        <w:rPr>
          <w:rFonts w:hint="eastAsia" w:ascii="仿宋" w:hAnsi="仿宋" w:eastAsia="仿宋" w:cs="仿宋"/>
          <w:sz w:val="32"/>
          <w:szCs w:val="32"/>
          <w:lang w:val="en-US" w:eastAsia="zh-CN"/>
        </w:rPr>
        <w:t>431.76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338.26</w:t>
      </w:r>
      <w:r>
        <w:rPr>
          <w:rFonts w:hint="default" w:ascii="Times New Roman" w:hAnsi="Times New Roman" w:eastAsia="仿宋_GB2312" w:cs="Times New Roman"/>
          <w:sz w:val="32"/>
          <w:szCs w:val="32"/>
        </w:rPr>
        <w:t>万元，主要是</w:t>
      </w:r>
      <w:r>
        <w:rPr>
          <w:rFonts w:hint="eastAsia" w:ascii="仿宋_GB2312" w:hAnsi="黑体" w:eastAsia="仿宋_GB2312"/>
          <w:sz w:val="32"/>
          <w:szCs w:val="32"/>
          <w:lang w:eastAsia="zh-CN"/>
        </w:rPr>
        <w:t>手续费增加</w:t>
      </w:r>
      <w:r>
        <w:rPr>
          <w:rFonts w:hint="eastAsia" w:ascii="仿宋_GB2312" w:hAnsi="黑体" w:eastAsia="仿宋_GB2312"/>
          <w:sz w:val="32"/>
          <w:szCs w:val="32"/>
          <w:lang w:val="en-US" w:eastAsia="zh-CN"/>
        </w:rPr>
        <w:t>180万元，拟用于支付2021年8-12月、2022年</w:t>
      </w:r>
      <w:r>
        <w:rPr>
          <w:rFonts w:hint="eastAsia" w:ascii="仿宋_GB2312" w:hAnsi="黑体" w:eastAsia="仿宋_GB2312"/>
          <w:sz w:val="32"/>
          <w:szCs w:val="32"/>
          <w:lang w:eastAsia="zh-CN"/>
        </w:rPr>
        <w:t>国库集中支付代理手续费；委托业务费增加</w:t>
      </w:r>
      <w:r>
        <w:rPr>
          <w:rFonts w:hint="eastAsia" w:ascii="仿宋_GB2312" w:hAnsi="黑体" w:eastAsia="仿宋_GB2312"/>
          <w:sz w:val="32"/>
          <w:szCs w:val="32"/>
          <w:lang w:val="en-US" w:eastAsia="zh-CN"/>
        </w:rPr>
        <w:t>120万元，拟用于支付辅助会计核算服务费等。</w:t>
      </w:r>
    </w:p>
    <w:p>
      <w:pPr>
        <w:ind w:firstLine="640"/>
        <w:rPr>
          <w:rFonts w:ascii="仿宋_GB2312" w:hAnsi="黑体" w:eastAsia="仿宋_GB2312"/>
          <w:sz w:val="32"/>
          <w:szCs w:val="32"/>
        </w:rPr>
      </w:pPr>
      <w:r>
        <w:rPr>
          <w:rFonts w:hint="default" w:ascii="Times New Roman" w:hAnsi="Times New Roman" w:eastAsia="仿宋_GB2312" w:cs="Times New Roman"/>
          <w:sz w:val="32"/>
          <w:szCs w:val="32"/>
        </w:rPr>
        <w:t>4.社会保障和就业（类）行政事业单位养老（款）机关事业单位基本养老保险缴费（项）202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97.67</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2.93</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w:t>
      </w:r>
      <w:r>
        <w:rPr>
          <w:rFonts w:hint="eastAsia" w:ascii="Times New Roman" w:hAnsi="Times New Roman" w:eastAsia="仿宋_GB2312" w:cs="Times New Roman"/>
          <w:sz w:val="32"/>
          <w:szCs w:val="32"/>
          <w:highlight w:val="none"/>
          <w:lang w:val="en-US" w:eastAsia="zh-CN"/>
        </w:rPr>
        <w:t>2021年有退休人员，正常性减少。</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.社会保障和就业（类）行政事业单位养老（款）机关事业单位</w:t>
      </w:r>
      <w:r>
        <w:rPr>
          <w:rFonts w:hint="eastAsia" w:ascii="Times New Roman" w:hAnsi="Times New Roman" w:eastAsia="仿宋_GB2312" w:cs="Times New Roman"/>
          <w:sz w:val="32"/>
          <w:szCs w:val="32"/>
          <w:lang w:eastAsia="zh-CN"/>
        </w:rPr>
        <w:t>职业年金</w:t>
      </w:r>
      <w:r>
        <w:rPr>
          <w:rFonts w:hint="default" w:ascii="Times New Roman" w:hAnsi="Times New Roman" w:eastAsia="仿宋_GB2312" w:cs="Times New Roman"/>
          <w:sz w:val="32"/>
          <w:szCs w:val="32"/>
        </w:rPr>
        <w:t>缴费（项）202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，主要是职业年金</w:t>
      </w:r>
      <w:r>
        <w:rPr>
          <w:rFonts w:hint="eastAsia" w:ascii="Times New Roman" w:hAnsi="Times New Roman" w:eastAsia="仿宋_GB2312" w:cs="Times New Roman"/>
          <w:sz w:val="32"/>
          <w:szCs w:val="32"/>
          <w:lang w:val="en-US" w:eastAsia="zh-CN"/>
        </w:rPr>
        <w:t>2022年开始列入预算，以往年度均为使用时追加预算，正常性增加。</w:t>
      </w:r>
    </w:p>
    <w:p>
      <w:pPr>
        <w:ind w:firstLine="640" w:firstLineChars="200"/>
        <w:rPr>
          <w:rFonts w:hint="eastAsia" w:ascii="仿宋_GB2312" w:hAnsi="黑体" w:eastAsia="仿宋_GB2312"/>
          <w:sz w:val="32"/>
          <w:szCs w:val="32"/>
          <w:lang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.社会保障和就业（类）抚恤（款）其他优抚支出（项）202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主要是我市机关事业单位工作人员死亡后遗属生活困难补助标准有调高，</w:t>
      </w:r>
      <w:r>
        <w:rPr>
          <w:rFonts w:hint="eastAsia" w:ascii="Times New Roman" w:hAnsi="Times New Roman" w:eastAsia="仿宋_GB2312" w:cs="Times New Roman"/>
          <w:sz w:val="32"/>
          <w:szCs w:val="32"/>
          <w:highlight w:val="none"/>
          <w:lang w:val="en-US" w:eastAsia="zh-CN"/>
        </w:rPr>
        <w:t>正常性增加。</w:t>
      </w:r>
    </w:p>
    <w:p>
      <w:pPr>
        <w:ind w:firstLine="64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51.89</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1.55</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w:t>
      </w:r>
      <w:r>
        <w:rPr>
          <w:rFonts w:hint="eastAsia" w:ascii="仿宋_GB2312" w:hAnsi="黑体" w:eastAsia="仿宋_GB2312"/>
          <w:sz w:val="32"/>
          <w:szCs w:val="32"/>
          <w:lang w:val="en-US" w:eastAsia="zh-CN"/>
        </w:rPr>
        <w:t>2021</w:t>
      </w:r>
      <w:r>
        <w:rPr>
          <w:rFonts w:hint="eastAsia" w:ascii="Times New Roman" w:hAnsi="Times New Roman" w:eastAsia="仿宋_GB2312" w:cs="Times New Roman"/>
          <w:sz w:val="32"/>
          <w:szCs w:val="32"/>
          <w:highlight w:val="none"/>
          <w:lang w:val="en-US" w:eastAsia="zh-CN"/>
        </w:rPr>
        <w:t>年有退休人员，正常性减少。</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103.88</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5.33</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，主要是有新进人员，正常性增加。</w:t>
      </w:r>
    </w:p>
    <w:p>
      <w:pPr>
        <w:ind w:firstLine="640" w:firstLineChars="200"/>
        <w:rPr>
          <w:rFonts w:ascii="仿宋_GB2312" w:hAnsi="黑体" w:eastAsia="仿宋_GB2312"/>
          <w:sz w:val="32"/>
          <w:szCs w:val="32"/>
          <w:highlight w:val="yellow"/>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.住房保障（类）住房改革（款）住房公积金（项）202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82.66</w:t>
      </w:r>
      <w:r>
        <w:rPr>
          <w:rFonts w:hint="default"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万元，减少的原因主要是</w:t>
      </w:r>
      <w:r>
        <w:rPr>
          <w:rFonts w:hint="default" w:ascii="Times New Roman" w:hAnsi="Times New Roman" w:eastAsia="仿宋_GB2312" w:cs="Times New Roman"/>
          <w:sz w:val="32"/>
          <w:szCs w:val="32"/>
          <w:highlight w:val="none"/>
        </w:rPr>
        <w:t>退休人员增加造成住房公积金缴费减少。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三亚市会计管理中心（三亚市财政国库支付局）</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1473.35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1376.39</w:t>
      </w:r>
      <w:r>
        <w:rPr>
          <w:rFonts w:hint="eastAsia" w:ascii="仿宋_GB2312" w:hAnsi="黑体" w:eastAsia="仿宋_GB2312"/>
          <w:sz w:val="32"/>
          <w:szCs w:val="32"/>
        </w:rPr>
        <w:t>万元，</w:t>
      </w:r>
      <w:r>
        <w:rPr>
          <w:rFonts w:hint="eastAsia" w:ascii="仿宋_GB2312" w:hAnsi="黑体" w:eastAsia="仿宋_GB2312"/>
          <w:sz w:val="32"/>
          <w:szCs w:val="32"/>
          <w:lang w:eastAsia="zh-CN"/>
        </w:rPr>
        <w:t>具体</w:t>
      </w:r>
      <w:r>
        <w:rPr>
          <w:rFonts w:hint="eastAsia" w:ascii="仿宋_GB2312" w:hAnsi="黑体" w:eastAsia="仿宋_GB2312"/>
          <w:sz w:val="32"/>
          <w:szCs w:val="32"/>
        </w:rPr>
        <w:t>包括：基本工资</w:t>
      </w:r>
      <w:r>
        <w:rPr>
          <w:rFonts w:hint="eastAsia" w:ascii="仿宋_GB2312" w:hAnsi="黑体" w:eastAsia="仿宋_GB2312"/>
          <w:sz w:val="32"/>
          <w:szCs w:val="32"/>
          <w:lang w:val="en-US" w:eastAsia="zh-CN"/>
        </w:rPr>
        <w:t>249.16万元</w:t>
      </w:r>
      <w:r>
        <w:rPr>
          <w:rFonts w:hint="eastAsia" w:ascii="仿宋_GB2312" w:hAnsi="黑体" w:eastAsia="仿宋_GB2312"/>
          <w:sz w:val="32"/>
          <w:szCs w:val="32"/>
        </w:rPr>
        <w:t>、津贴补贴</w:t>
      </w:r>
      <w:r>
        <w:rPr>
          <w:rFonts w:hint="eastAsia" w:ascii="仿宋_GB2312" w:hAnsi="黑体" w:eastAsia="仿宋_GB2312"/>
          <w:sz w:val="32"/>
          <w:szCs w:val="32"/>
          <w:lang w:val="en-US" w:eastAsia="zh-CN"/>
        </w:rPr>
        <w:t>388.58万元</w:t>
      </w:r>
      <w:r>
        <w:rPr>
          <w:rFonts w:hint="eastAsia" w:ascii="仿宋_GB2312" w:hAnsi="黑体" w:eastAsia="仿宋_GB2312"/>
          <w:sz w:val="32"/>
          <w:szCs w:val="32"/>
        </w:rPr>
        <w:t>、奖金</w:t>
      </w:r>
      <w:r>
        <w:rPr>
          <w:rFonts w:hint="eastAsia" w:ascii="仿宋_GB2312" w:hAnsi="黑体" w:eastAsia="仿宋_GB2312"/>
          <w:sz w:val="32"/>
          <w:szCs w:val="32"/>
          <w:lang w:val="en-US" w:eastAsia="zh-CN"/>
        </w:rPr>
        <w:t>228.43万元</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val="en-US" w:eastAsia="zh-CN"/>
        </w:rPr>
        <w:t>97.67万元、职业年金缴费60万元</w:t>
      </w:r>
      <w:r>
        <w:rPr>
          <w:rFonts w:hint="eastAsia" w:ascii="仿宋_GB2312" w:hAnsi="黑体" w:eastAsia="仿宋_GB2312"/>
          <w:sz w:val="32"/>
          <w:szCs w:val="32"/>
        </w:rPr>
        <w:t>、职工基本医疗保险缴费</w:t>
      </w:r>
      <w:r>
        <w:rPr>
          <w:rFonts w:hint="eastAsia" w:ascii="仿宋_GB2312" w:hAnsi="黑体" w:eastAsia="仿宋_GB2312"/>
          <w:sz w:val="32"/>
          <w:szCs w:val="32"/>
          <w:lang w:val="en-US" w:eastAsia="zh-CN"/>
        </w:rPr>
        <w:t>51.89万元、公务员医疗补助缴费103.88万元、其他社会保障缴费4.27万元、住房公积金82.66万元、医疗费14万元、其他工资福利支出30万元、邮电费10.03万元、其他交通费用53.57万元、生活补助2万元、奖励金0.24万元。</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96.96</w:t>
      </w:r>
      <w:r>
        <w:rPr>
          <w:rFonts w:hint="eastAsia" w:ascii="仿宋_GB2312" w:hAnsi="黑体" w:eastAsia="仿宋_GB2312"/>
          <w:sz w:val="32"/>
          <w:szCs w:val="32"/>
        </w:rPr>
        <w:t>万元，</w:t>
      </w:r>
      <w:r>
        <w:rPr>
          <w:rFonts w:hint="eastAsia" w:ascii="仿宋_GB2312" w:hAnsi="黑体" w:eastAsia="仿宋_GB2312"/>
          <w:sz w:val="32"/>
          <w:szCs w:val="32"/>
          <w:lang w:eastAsia="zh-CN"/>
        </w:rPr>
        <w:t>具体</w:t>
      </w:r>
      <w:r>
        <w:rPr>
          <w:rFonts w:hint="eastAsia" w:ascii="仿宋_GB2312" w:hAnsi="黑体" w:eastAsia="仿宋_GB2312"/>
          <w:sz w:val="32"/>
          <w:szCs w:val="32"/>
        </w:rPr>
        <w:t>包括：其他社会保障缴费</w:t>
      </w:r>
      <w:r>
        <w:rPr>
          <w:rFonts w:hint="eastAsia" w:ascii="仿宋_GB2312" w:hAnsi="黑体" w:eastAsia="仿宋_GB2312"/>
          <w:sz w:val="32"/>
          <w:szCs w:val="32"/>
          <w:lang w:val="en-US" w:eastAsia="zh-CN"/>
        </w:rPr>
        <w:t>15万元、办公费17.09万元、会议费1.7万元、培训费2.28万元、工会经费13.78万元、福利费0.67万元、公务用车运行维护费4.95万元、其他商品和服务支出33.5万元、生活补助3万元、其他对个人和家庭的补助5万元。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三亚市会计管理中心（三亚市财政国库支付局）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6.95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2022年无出国计划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4.95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4.95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widowControl w:val="0"/>
        <w:wordWrap/>
        <w:adjustRightInd/>
        <w:snapToGrid/>
        <w:spacing w:before="0" w:after="0" w:line="240" w:lineRule="auto"/>
        <w:ind w:left="0" w:leftChars="0" w:right="0" w:firstLine="640" w:firstLineChars="200"/>
        <w:jc w:val="both"/>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default" w:ascii="Times New Roman" w:hAnsi="Times New Roman" w:eastAsia="仿宋_GB2312" w:cs="Times New Roman"/>
          <w:sz w:val="32"/>
          <w:shd w:val="clear" w:color="auto" w:fill="FFFFFF"/>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三亚市会计管理中心（三亚市财政国库支付局）</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三亚市会计管理中心（三亚市财政国库支付局）</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和上年结转</w:t>
      </w:r>
      <w:r>
        <w:rPr>
          <w:rFonts w:hint="eastAsia" w:ascii="仿宋_GB2312" w:hAnsi="黑体" w:eastAsia="仿宋_GB2312"/>
          <w:sz w:val="32"/>
          <w:szCs w:val="32"/>
        </w:rPr>
        <w:t>；支出包括：一般公共服务支出、 社会保障和就业支出、 卫生健康支出、 住房保障支出。</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2050.96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三亚市会计管理中心（三亚市财政国库支付局）</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2050.96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77.61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3.78</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一般公共预算拨款收入</w:t>
      </w:r>
      <w:r>
        <w:rPr>
          <w:rFonts w:hint="eastAsia" w:ascii="仿宋_GB2312" w:hAnsi="黑体" w:eastAsia="仿宋_GB2312"/>
          <w:sz w:val="32"/>
          <w:szCs w:val="32"/>
          <w:lang w:val="en-US" w:eastAsia="zh-CN"/>
        </w:rPr>
        <w:t>1973.35万元，占比96.22%。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400.23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财政国库业务经费增加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三亚市会计管理中心（三亚市财政国库支付局）</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2050.96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1473.35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71.84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577.61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28.16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400.23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财政国库业务经费增加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150.71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三亚市会计管理中心（三亚市财政国库支付局）</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sz w:val="32"/>
          <w:szCs w:val="32"/>
          <w:lang w:val="en-US" w:eastAsia="zh-CN"/>
        </w:rPr>
        <w:t>1973.35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77.61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 w:numId="4">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qFormat/>
    <w:uiPriority w:val="1"/>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List Paragraph"/>
    <w:basedOn w:val="1"/>
    <w:qFormat/>
    <w:uiPriority w:val="34"/>
    <w:pPr>
      <w:ind w:firstLine="420" w:firstLineChars="200"/>
    </w:pPr>
  </w:style>
  <w:style w:type="paragraph" w:customStyle="1" w:styleId="6">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7">
    <w:name w:val="列出段落1"/>
    <w:basedOn w:val="1"/>
    <w:qFormat/>
    <w:uiPriority w:val="34"/>
    <w:pPr>
      <w:ind w:firstLine="420" w:firstLineChars="200"/>
    </w:p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 专业版_9.1.0.4688_{F1E327BC-269C-435d-A152-05C5408002CA}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刘畅</cp:lastModifiedBy>
  <dcterms:modified xsi:type="dcterms:W3CDTF">2023-10-07T00:16:45Z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ies>
</file>