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lang w:val="en-US" w:eastAsia="zh-CN"/>
        </w:rPr>
        <w:t>2022</w:t>
      </w:r>
      <w:r>
        <w:rPr>
          <w:rFonts w:hint="eastAsia" w:asciiTheme="majorEastAsia" w:hAnsiTheme="majorEastAsia" w:eastAsiaTheme="majorEastAsia" w:cstheme="majorEastAsia"/>
          <w:sz w:val="52"/>
          <w:szCs w:val="52"/>
        </w:rPr>
        <w:t>年</w:t>
      </w:r>
      <w:r>
        <w:rPr>
          <w:rFonts w:hint="eastAsia" w:asciiTheme="majorEastAsia" w:hAnsiTheme="majorEastAsia" w:eastAsiaTheme="majorEastAsia" w:cstheme="majorEastAsia"/>
          <w:sz w:val="52"/>
          <w:szCs w:val="52"/>
          <w:lang w:eastAsia="zh-CN"/>
        </w:rPr>
        <w:t>三亚市综治中心</w:t>
      </w:r>
      <w:r>
        <w:rPr>
          <w:rFonts w:hint="eastAsia" w:asciiTheme="majorEastAsia" w:hAnsiTheme="majorEastAsia" w:eastAsiaTheme="majorEastAsia" w:cstheme="major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b/>
          <w:bCs/>
          <w:sz w:val="32"/>
          <w:szCs w:val="32"/>
        </w:rPr>
        <w:t xml:space="preserve"> </w:t>
      </w: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zCs w:val="32"/>
        </w:rPr>
        <w:t>（单位）概况</w:t>
      </w:r>
    </w:p>
    <w:p>
      <w:pPr>
        <w:pStyle w:val="6"/>
        <w:numPr>
          <w:ilvl w:val="0"/>
          <w:numId w:val="2"/>
        </w:numPr>
        <w:ind w:firstLineChars="0"/>
        <w:jc w:val="left"/>
        <w:rPr>
          <w:ins w:id="0" w:author="卢秋月" w:date="2023-07-28T16:50:49Z"/>
          <w:rFonts w:hint="eastAsia" w:ascii="黑体" w:hAnsi="黑体" w:eastAsia="黑体" w:cs="黑体"/>
          <w:b w:val="0"/>
          <w:bCs w:val="0"/>
          <w:sz w:val="32"/>
          <w:szCs w:val="32"/>
        </w:rPr>
      </w:pPr>
      <w:bookmarkStart w:id="0" w:name="_GoBack"/>
      <w:bookmarkEnd w:id="0"/>
      <w:r>
        <w:rPr>
          <w:rFonts w:hint="eastAsia" w:ascii="黑体" w:hAnsi="黑体" w:eastAsia="黑体" w:cs="黑体"/>
          <w:b w:val="0"/>
          <w:bCs w:val="0"/>
          <w:sz w:val="32"/>
          <w:szCs w:val="32"/>
        </w:rPr>
        <w:t>主要职能</w:t>
      </w:r>
    </w:p>
    <w:p>
      <w:pPr>
        <w:pStyle w:val="6"/>
        <w:numPr>
          <w:ilvl w:val="0"/>
          <w:numId w:val="2"/>
        </w:numPr>
        <w:ind w:firstLineChars="0"/>
        <w:jc w:val="left"/>
        <w:rPr>
          <w:rFonts w:hint="eastAsia" w:ascii="黑体" w:hAnsi="黑体" w:eastAsia="黑体" w:cs="黑体"/>
          <w:b w:val="0"/>
          <w:bCs w:val="0"/>
          <w:sz w:val="32"/>
          <w:szCs w:val="32"/>
        </w:rPr>
      </w:pPr>
      <w:r>
        <w:rPr>
          <w:rFonts w:hint="eastAsia" w:ascii="黑体" w:hAnsi="黑体" w:eastAsia="黑体" w:cs="黑体"/>
          <w:sz w:val="32"/>
          <w:szCs w:val="32"/>
          <w:lang w:eastAsia="zh-CN"/>
        </w:rPr>
        <w:t>机构设置情况及</w:t>
      </w:r>
      <w:r>
        <w:rPr>
          <w:rFonts w:hint="eastAsia" w:ascii="黑体" w:hAnsi="黑体" w:eastAsia="黑体" w:cs="黑体"/>
          <w:sz w:val="32"/>
          <w:szCs w:val="32"/>
        </w:rPr>
        <w:t>部门预算单位构成</w:t>
      </w:r>
    </w:p>
    <w:p>
      <w:pPr>
        <w:pStyle w:val="6"/>
        <w:numPr>
          <w:ilvl w:val="0"/>
          <w:numId w:val="1"/>
        </w:numPr>
        <w:ind w:firstLineChars="0"/>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zCs w:val="32"/>
        </w:rPr>
        <w:t>年（单位）预算表</w:t>
      </w:r>
    </w:p>
    <w:p>
      <w:pPr>
        <w:pStyle w:val="6"/>
        <w:numPr>
          <w:ilvl w:val="-1"/>
          <w:numId w:val="0"/>
        </w:numPr>
        <w:adjustRightInd w:val="0"/>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numPr>
          <w:ilvl w:val="-1"/>
          <w:numId w:val="0"/>
        </w:numPr>
        <w:adjustRightInd w:val="0"/>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numPr>
          <w:ilvl w:val="-1"/>
          <w:numId w:val="0"/>
        </w:numPr>
        <w:adjustRightInd w:val="0"/>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numPr>
          <w:ilvl w:val="-1"/>
          <w:numId w:val="0"/>
        </w:numPr>
        <w:adjustRightInd w:val="0"/>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numPr>
          <w:ilvl w:val="-1"/>
          <w:numId w:val="0"/>
        </w:numPr>
        <w:adjustRightInd w:val="0"/>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numPr>
          <w:ilvl w:val="-1"/>
          <w:numId w:val="0"/>
        </w:numPr>
        <w:adjustRightInd w:val="0"/>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numPr>
          <w:ilvl w:val="-1"/>
          <w:numId w:val="0"/>
        </w:numPr>
        <w:adjustRightInd w:val="0"/>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七、单位</w:t>
      </w:r>
      <w:r>
        <w:rPr>
          <w:rFonts w:hint="eastAsia" w:ascii="仿宋_GB2312" w:hAnsi="仿宋_GB2312" w:eastAsia="仿宋_GB2312" w:cs="仿宋_GB2312"/>
          <w:sz w:val="32"/>
          <w:szCs w:val="32"/>
        </w:rPr>
        <w:t>收支总表</w:t>
      </w:r>
    </w:p>
    <w:p>
      <w:pPr>
        <w:pStyle w:val="6"/>
        <w:numPr>
          <w:ilvl w:val="-1"/>
          <w:numId w:val="0"/>
        </w:numPr>
        <w:adjustRightInd w:val="0"/>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八、单位</w:t>
      </w:r>
      <w:r>
        <w:rPr>
          <w:rFonts w:hint="eastAsia" w:ascii="仿宋_GB2312" w:hAnsi="仿宋_GB2312" w:eastAsia="仿宋_GB2312" w:cs="仿宋_GB2312"/>
          <w:sz w:val="32"/>
          <w:szCs w:val="32"/>
        </w:rPr>
        <w:t>收入总表</w:t>
      </w:r>
    </w:p>
    <w:p>
      <w:pPr>
        <w:pStyle w:val="6"/>
        <w:numPr>
          <w:ilvl w:val="-1"/>
          <w:numId w:val="0"/>
        </w:numPr>
        <w:adjustRightInd w:val="0"/>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九、单位</w:t>
      </w:r>
      <w:r>
        <w:rPr>
          <w:rFonts w:hint="eastAsia" w:ascii="仿宋_GB2312" w:hAnsi="仿宋_GB2312" w:eastAsia="仿宋_GB2312" w:cs="仿宋_GB2312"/>
          <w:sz w:val="32"/>
          <w:szCs w:val="32"/>
        </w:rPr>
        <w:t>支出总表</w:t>
      </w:r>
    </w:p>
    <w:p>
      <w:pPr>
        <w:pStyle w:val="6"/>
        <w:numPr>
          <w:ilvl w:val="-1"/>
          <w:numId w:val="0"/>
        </w:numPr>
        <w:adjustRightInd w:val="0"/>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  </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zCs w:val="32"/>
        </w:rPr>
        <w:t>年（单位）预算情况说明</w:t>
      </w:r>
    </w:p>
    <w:p>
      <w:pPr>
        <w:pStyle w:val="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   名词解释</w:t>
      </w: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三亚市综治中心</w:t>
      </w:r>
      <w:r>
        <w:rPr>
          <w:rFonts w:hint="eastAsia" w:ascii="黑体" w:hAnsi="黑体" w:eastAsia="黑体" w:cs="黑体"/>
          <w:sz w:val="32"/>
          <w:szCs w:val="32"/>
        </w:rPr>
        <w:t>（单位）概况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（一）协助做好全市社会治安防控体系建设，协助实有人口、流动人口、特殊人群、候鸟人群服务管理和社会治安、预防青少年违法犯罪、校园及周边、护路护线联防等综治事项。</w:t>
      </w:r>
    </w:p>
    <w:p>
      <w:pPr>
        <w:numPr>
          <w:ilvl w:val="0"/>
          <w:numId w:val="5"/>
        </w:num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协助做好本地区矛盾纠纷多元化解和跨地区矛盾纠纷调解工作。</w:t>
      </w:r>
    </w:p>
    <w:p>
      <w:pPr>
        <w:numPr>
          <w:ilvl w:val="0"/>
          <w:numId w:val="5"/>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配合掌握各区各部门综治工作情况，协助开展对社会治安和社会稳定形势的整体研判、动态监测，并提出督办建议。</w:t>
      </w:r>
    </w:p>
    <w:p>
      <w:pPr>
        <w:numPr>
          <w:ilvl w:val="0"/>
          <w:numId w:val="5"/>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协助开展各区各部门社会治安综合治理工作督导、检查，协助开展综治工作（平安建设）考核评价。</w:t>
      </w:r>
    </w:p>
    <w:p>
      <w:pPr>
        <w:numPr>
          <w:ilvl w:val="0"/>
          <w:numId w:val="5"/>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协助开展法制宣传教育，引导人民群众遵法学法守法用法。</w:t>
      </w:r>
    </w:p>
    <w:p>
      <w:pPr>
        <w:numPr>
          <w:ilvl w:val="0"/>
          <w:numId w:val="5"/>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协助驻军部队参与平安创建，协助做好涉军维权、军地互涉案件查办等工作。</w:t>
      </w:r>
    </w:p>
    <w:p>
      <w:pPr>
        <w:numPr>
          <w:ilvl w:val="0"/>
          <w:numId w:val="5"/>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协助推进全市网格化服务管理和网格员队伍建设。</w:t>
      </w:r>
    </w:p>
    <w:p>
      <w:pPr>
        <w:numPr>
          <w:ilvl w:val="0"/>
          <w:numId w:val="5"/>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协助全面采集综治基础信息并录入系统，收集社情民意，协助做好平安创建活动，协助开展综治隐患排查整治。</w:t>
      </w:r>
    </w:p>
    <w:p>
      <w:pPr>
        <w:numPr>
          <w:ilvl w:val="0"/>
          <w:numId w:val="5"/>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参与社会心理服务，开展心理辅导、心理危机干预等。开展公共服务代办，为居民群众提供高效便捷的综合服务。</w:t>
      </w:r>
    </w:p>
    <w:p>
      <w:pPr>
        <w:numPr>
          <w:ilvl w:val="-1"/>
          <w:numId w:val="0"/>
        </w:numPr>
        <w:ind w:left="420" w:leftChars="200" w:firstLine="0" w:firstLineChars="0"/>
        <w:jc w:val="left"/>
        <w:rPr>
          <w:ins w:id="1" w:author="卢秋月" w:date="2023-07-28T16:51:01Z"/>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（十）承办上级部门交办的其他工作。</w:t>
      </w:r>
    </w:p>
    <w:p>
      <w:pPr>
        <w:pStyle w:val="6"/>
        <w:numPr>
          <w:ilvl w:val="0"/>
          <w:numId w:val="0"/>
        </w:numPr>
        <w:ind w:leftChars="0"/>
        <w:jc w:val="left"/>
        <w:rPr>
          <w:rFonts w:hint="eastAsia" w:ascii="黑体" w:hAnsi="黑体" w:eastAsia="黑体" w:cs="黑体"/>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黑体"/>
          <w:sz w:val="32"/>
          <w:szCs w:val="32"/>
          <w:lang w:eastAsia="zh-CN"/>
        </w:rPr>
        <w:t>二、机构设置情况及</w:t>
      </w:r>
      <w:r>
        <w:rPr>
          <w:rFonts w:hint="eastAsia" w:ascii="黑体" w:hAnsi="黑体" w:eastAsia="黑体" w:cs="黑体"/>
          <w:sz w:val="32"/>
          <w:szCs w:val="32"/>
        </w:rPr>
        <w:t>部门预算单位构成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三亚市综治中心设两个内设机构，事业编制编制10名，设主任1名，副主任1名，科级领导职数2名（正科级）、2名（副科级）。</w:t>
      </w:r>
    </w:p>
    <w:p>
      <w:pPr>
        <w:ind w:firstLine="800" w:firstLineChars="250"/>
        <w:jc w:val="left"/>
        <w:rPr>
          <w:rFonts w:hint="default" w:ascii="仿宋_GB2312" w:hAnsi="黑体" w:eastAsia="仿宋_GB2312" w:cs="仿宋_GB2312"/>
          <w:sz w:val="32"/>
          <w:szCs w:val="32"/>
          <w:highlight w:val="yellow"/>
          <w:lang w:val="en-US" w:eastAsia="zh-CN"/>
        </w:rPr>
      </w:pPr>
      <w:r>
        <w:rPr>
          <w:rFonts w:hint="eastAsia" w:ascii="仿宋_GB2312" w:hAnsi="ˎ̥" w:eastAsia="仿宋_GB2312" w:cs="Times New Roman"/>
          <w:color w:val="auto"/>
          <w:sz w:val="32"/>
          <w:szCs w:val="32"/>
          <w:lang w:val="en-US" w:eastAsia="zh-CN"/>
        </w:rPr>
        <w:t>纳入中共三亚市委政法委员会部门2022年部门预算编制范围的预算单位为三亚市综治中心。</w:t>
      </w:r>
    </w:p>
    <w:p>
      <w:pPr>
        <w:numPr>
          <w:ilvl w:val="-1"/>
          <w:numId w:val="0"/>
        </w:numPr>
        <w:ind w:left="0" w:leftChars="0" w:firstLine="0" w:firstLineChars="0"/>
        <w:jc w:val="left"/>
        <w:rPr>
          <w:rFonts w:hint="eastAsia" w:ascii="仿宋_GB2312" w:hAnsi="黑体" w:eastAsia="仿宋_GB2312" w:cs="仿宋_GB2312"/>
          <w:sz w:val="32"/>
          <w:szCs w:val="32"/>
          <w:lang w:eastAsia="zh-CN"/>
        </w:rPr>
      </w:pPr>
    </w:p>
    <w:p>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第二部分  </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zCs w:val="32"/>
        </w:rPr>
        <w:t>年（单位）预算表</w:t>
      </w:r>
    </w:p>
    <w:p>
      <w:pPr>
        <w:ind w:left="800"/>
        <w:jc w:val="left"/>
        <w:rPr>
          <w:rFonts w:hint="eastAsia" w:ascii="黑体" w:hAnsi="黑体" w:eastAsia="黑体" w:cs="黑体"/>
          <w:b w:val="0"/>
          <w:bCs w:val="0"/>
          <w:sz w:val="32"/>
          <w:szCs w:val="32"/>
        </w:rPr>
      </w:pPr>
    </w:p>
    <w:p>
      <w:pPr>
        <w:ind w:left="800"/>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此部分内容即为</w:t>
      </w:r>
      <w:r>
        <w:rPr>
          <w:rFonts w:hint="eastAsia" w:ascii="仿宋" w:hAnsi="仿宋" w:eastAsia="仿宋" w:cs="仿宋"/>
          <w:b w:val="0"/>
          <w:bCs w:val="0"/>
          <w:sz w:val="32"/>
          <w:szCs w:val="32"/>
        </w:rPr>
        <w:t>单位预算公开表）</w:t>
      </w:r>
    </w:p>
    <w:p>
      <w:pPr>
        <w:rPr>
          <w:rFonts w:hint="eastAsia" w:ascii="黑体" w:hAnsi="黑体" w:eastAsia="黑体" w:cs="黑体"/>
          <w:sz w:val="32"/>
          <w:szCs w:val="32"/>
        </w:rPr>
      </w:pPr>
    </w:p>
    <w:p>
      <w:pPr>
        <w:ind w:firstLine="480" w:firstLineChars="150"/>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三亚市综治中心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w:t>
      </w:r>
      <w:r>
        <w:rPr>
          <w:rFonts w:hint="eastAsia" w:ascii="黑体" w:hAnsi="黑体" w:eastAsia="黑体" w:cs="黑体"/>
          <w:b w:val="0"/>
          <w:bCs w:val="0"/>
          <w:sz w:val="32"/>
          <w:szCs w:val="32"/>
        </w:rPr>
        <w:t>关于</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zCs w:val="32"/>
        </w:rPr>
        <w:t>（单位）</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三亚市综治中心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222.08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8.69</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10.29</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6.8万元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eastAsia="zh-CN"/>
        </w:rPr>
        <w:t>三亚市综治中心</w:t>
      </w:r>
      <w:r>
        <w:rPr>
          <w:rFonts w:hint="eastAsia" w:ascii="黑体" w:hAnsi="黑体" w:eastAsia="黑体" w:cs="黑体"/>
          <w:sz w:val="32"/>
          <w:szCs w:val="32"/>
        </w:rPr>
        <w:t>（单位）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年一般公共预算当年拨款情况说</w:t>
      </w:r>
      <w:r>
        <w:rPr>
          <w:rFonts w:hint="eastAsia" w:ascii="黑体" w:hAnsi="黑体" w:eastAsia="黑体"/>
          <w:sz w:val="32"/>
          <w:szCs w:val="32"/>
        </w:rPr>
        <w:t>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三亚市综治中心</w:t>
      </w:r>
      <w:r>
        <w:rPr>
          <w:rFonts w:hint="eastAsia" w:ascii="仿宋_GB2312" w:hAnsi="黑体" w:eastAsia="仿宋_GB2312"/>
          <w:sz w:val="32"/>
          <w:szCs w:val="32"/>
        </w:rPr>
        <w:t>（单位）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77.79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基本支出、专项业务经费增加</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222.08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89.59</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4.16</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2.75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1.一般公共服务（类）党委办公厅（室）及相关机构事务（款）事业运行（项）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95.08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基本支出略有增加。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一般公共服务（类）党委办公厅（室）及相关机构事务（款）其他党委办公厅（室）及相关机构事务支出（项）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127.00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项目综治网格建设经费增加。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支出（款）事业单位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0.74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支出（款）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0.91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人员增加</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w:t>
      </w:r>
      <w:r>
        <w:rPr>
          <w:rFonts w:hint="eastAsia" w:ascii="仿宋_GB2312" w:hAnsi="黑体" w:eastAsia="仿宋_GB2312" w:cs="仿宋_GB2312"/>
          <w:sz w:val="32"/>
          <w:szCs w:val="32"/>
        </w:rPr>
        <w:t>支出（款）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人员增加</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w:t>
      </w:r>
      <w:r>
        <w:rPr>
          <w:rFonts w:hint="eastAsia" w:ascii="黑体" w:hAnsi="黑体" w:eastAsia="黑体" w:cs="黑体"/>
          <w:b w:val="0"/>
          <w:bCs w:val="0"/>
          <w:sz w:val="32"/>
          <w:szCs w:val="32"/>
        </w:rPr>
        <w:t>于</w:t>
      </w:r>
      <w:r>
        <w:rPr>
          <w:rFonts w:hint="eastAsia" w:ascii="黑体" w:hAnsi="黑体" w:eastAsia="黑体" w:cs="黑体"/>
          <w:b w:val="0"/>
          <w:bCs w:val="0"/>
          <w:sz w:val="32"/>
          <w:szCs w:val="32"/>
          <w:lang w:eastAsia="zh-CN"/>
        </w:rPr>
        <w:t>三亚</w:t>
      </w:r>
      <w:r>
        <w:rPr>
          <w:rFonts w:hint="eastAsia" w:ascii="黑体" w:hAnsi="黑体" w:eastAsia="黑体" w:cs="黑体"/>
          <w:sz w:val="32"/>
          <w:szCs w:val="32"/>
          <w:lang w:eastAsia="zh-CN"/>
        </w:rPr>
        <w:t>市综治中心</w:t>
      </w:r>
      <w:r>
        <w:rPr>
          <w:rFonts w:hint="eastAsia" w:ascii="黑体" w:hAnsi="黑体" w:eastAsia="黑体" w:cs="黑体"/>
          <w:sz w:val="32"/>
          <w:szCs w:val="32"/>
        </w:rPr>
        <w:t>（单位）</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年一般公共预算基本支出情况说</w:t>
      </w:r>
      <w:r>
        <w:rPr>
          <w:rFonts w:hint="eastAsia" w:ascii="黑体" w:hAnsi="黑体" w:eastAsia="黑体"/>
          <w:sz w:val="32"/>
          <w:szCs w:val="32"/>
        </w:rPr>
        <w:t>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三亚市综治中心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120.87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111.54</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奖金、社会保障缴费、</w:t>
      </w:r>
      <w:r>
        <w:rPr>
          <w:rFonts w:hint="eastAsia" w:ascii="仿宋_GB2312" w:hAnsi="黑体" w:eastAsia="仿宋_GB2312"/>
          <w:sz w:val="32"/>
          <w:szCs w:val="32"/>
          <w:lang w:eastAsia="zh-CN"/>
        </w:rPr>
        <w:t>商品和服务支出、邮电费、</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9.33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工资福利支出、其他社会保障、商品和服务支出、办公费、会议费、培训费、工会经费、福利费、其他商品和服务支出、对个人和家庭的补助、其他对个人和家庭的补助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hd w:val="clear" w:color="auto" w:fill="FFFFFF"/>
        </w:rPr>
        <w:t>、</w:t>
      </w:r>
      <w:r>
        <w:rPr>
          <w:rFonts w:hint="eastAsia" w:ascii="黑体" w:hAnsi="黑体" w:eastAsia="黑体" w:cs="黑体"/>
          <w:sz w:val="32"/>
          <w:szCs w:val="32"/>
          <w:lang w:eastAsia="zh-CN"/>
        </w:rPr>
        <w:t>三亚综治中心</w:t>
      </w:r>
      <w:r>
        <w:rPr>
          <w:rFonts w:hint="eastAsia" w:ascii="黑体" w:hAnsi="黑体" w:eastAsia="黑体" w:cs="黑体"/>
          <w:sz w:val="32"/>
          <w:shd w:val="clear" w:color="auto" w:fill="FFFFFF"/>
        </w:rPr>
        <w:t>（单位）</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年“三公”经费预算情况说明</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三亚市综治中心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三亚市综治中心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b w:val="0"/>
          <w:bCs w:val="0"/>
          <w:sz w:val="32"/>
          <w:shd w:val="clear" w:color="auto" w:fill="FFFFFF"/>
        </w:rPr>
        <w:t>关于</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zCs w:val="32"/>
          <w:shd w:val="clear" w:color="auto" w:fill="FFFFFF"/>
        </w:rPr>
        <w:t>（单位）</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zCs w:val="32"/>
          <w:shd w:val="clear" w:color="auto" w:fill="FFFFFF"/>
        </w:rPr>
        <w:t>年政府性基金预算当年拨款情况说明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三亚市综治中心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六、关于</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hd w:val="clear" w:color="auto" w:fill="FFFFFF"/>
        </w:rPr>
        <w:t>（单位）</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rPr>
        <w:t>（单位）所有收入和支出均纳入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七、关于</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hd w:val="clear" w:color="auto" w:fill="FFFFFF"/>
        </w:rPr>
        <w:t>（单位）</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77.79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lang w:val="en-US" w:eastAsia="zh-CN"/>
        </w:rPr>
        <w:t>所致</w:t>
      </w:r>
      <w:r>
        <w:rPr>
          <w:rFonts w:hint="eastAsia" w:ascii="仿宋_GB2312" w:hAnsi="黑体" w:eastAsia="仿宋_GB2312"/>
          <w:sz w:val="32"/>
          <w:szCs w:val="32"/>
        </w:rPr>
        <w:t>。</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八、关于</w:t>
      </w:r>
      <w:r>
        <w:rPr>
          <w:rFonts w:hint="eastAsia" w:ascii="黑体" w:hAnsi="黑体" w:eastAsia="黑体" w:cs="黑体"/>
          <w:b w:val="0"/>
          <w:bCs w:val="0"/>
          <w:sz w:val="32"/>
          <w:szCs w:val="32"/>
          <w:lang w:eastAsia="zh-CN"/>
        </w:rPr>
        <w:t>三亚市综治中心</w:t>
      </w:r>
      <w:r>
        <w:rPr>
          <w:rFonts w:hint="eastAsia" w:ascii="黑体" w:hAnsi="黑体" w:eastAsia="黑体" w:cs="黑体"/>
          <w:b w:val="0"/>
          <w:bCs w:val="0"/>
          <w:sz w:val="32"/>
          <w:shd w:val="clear" w:color="auto" w:fill="FFFFFF"/>
        </w:rPr>
        <w:t>（单位）</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120.87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48.76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51.24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77.79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项目经费增加</w:t>
      </w:r>
      <w:r>
        <w:rPr>
          <w:rFonts w:hint="eastAsia" w:ascii="仿宋_GB2312" w:hAnsi="黑体" w:eastAsia="仿宋_GB2312"/>
          <w:sz w:val="32"/>
          <w:szCs w:val="32"/>
          <w:lang w:val="en-US" w:eastAsia="zh-CN"/>
        </w:rPr>
        <w:t>所致</w:t>
      </w:r>
      <w:r>
        <w:rPr>
          <w:rFonts w:hint="eastAsia" w:ascii="仿宋_GB2312" w:hAnsi="黑体" w:eastAsia="仿宋_GB2312"/>
          <w:sz w:val="32"/>
          <w:szCs w:val="32"/>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numPr>
          <w:ilvl w:val="-1"/>
          <w:numId w:val="0"/>
        </w:numPr>
        <w:ind w:firstLine="0" w:firstLineChars="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val="en-US" w:eastAsia="zh-CN"/>
        </w:rPr>
        <w:t xml:space="preserve">    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机关运行经费预算总额95.08</w:t>
      </w:r>
      <w:r>
        <w:rPr>
          <w:rFonts w:hint="eastAsia" w:ascii="仿宋_GB2312" w:hAnsi="黑体" w:eastAsia="仿宋_GB2312" w:cs="仿宋_GB2312"/>
          <w:sz w:val="32"/>
          <w:szCs w:val="32"/>
          <w:lang w:val="en-US" w:eastAsia="zh-CN"/>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8.54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8.54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rPr>
        <w:t>（单位）本级及下属各预算单位共有车辆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三亚市综治中心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247.87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政府性基金0万元。</w:t>
      </w:r>
    </w:p>
    <w:p>
      <w:pPr>
        <w:jc w:val="both"/>
        <w:rPr>
          <w:rFonts w:hint="eastAsia" w:ascii="黑体" w:hAnsi="黑体" w:eastAsia="黑体"/>
          <w:b/>
          <w:sz w:val="32"/>
          <w:szCs w:val="32"/>
        </w:rPr>
      </w:pPr>
    </w:p>
    <w:p>
      <w:pPr>
        <w:ind w:firstLine="0" w:firstLineChars="0"/>
        <w:jc w:val="center"/>
        <w:rPr>
          <w:rFonts w:hint="eastAsia" w:ascii="黑体" w:hAnsi="黑体" w:eastAsia="黑体"/>
          <w:b/>
          <w:sz w:val="32"/>
          <w:szCs w:val="32"/>
        </w:rPr>
      </w:pPr>
      <w:r>
        <w:rPr>
          <w:rFonts w:hint="eastAsia" w:ascii="黑体" w:hAnsi="黑体" w:eastAsia="黑体"/>
          <w:b/>
          <w:sz w:val="32"/>
          <w:szCs w:val="32"/>
        </w:rPr>
        <w:t>第四部分  名词解释</w:t>
      </w:r>
    </w:p>
    <w:p>
      <w:pPr>
        <w:ind w:firstLine="0" w:firstLineChars="0"/>
        <w:jc w:val="center"/>
        <w:rPr>
          <w:rFonts w:hint="eastAsia" w:ascii="黑体" w:hAnsi="黑体" w:eastAsia="黑体"/>
          <w:b/>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spacing w:val="0"/>
          <w:kern w:val="0"/>
          <w:sz w:val="32"/>
          <w:szCs w:val="30"/>
        </w:rPr>
      </w:pPr>
      <w:r>
        <w:rPr>
          <w:rFonts w:hint="eastAsia" w:ascii="仿宋_GB2312" w:hAnsi="宋体" w:eastAsia="仿宋_GB2312" w:cs="宋体"/>
          <w:color w:val="000000"/>
          <w:spacing w:val="0"/>
          <w:kern w:val="0"/>
          <w:sz w:val="32"/>
          <w:szCs w:val="30"/>
        </w:rPr>
        <w:t>九、商品和服务支出：反映单位购买商品和服务的支出，包括办公费、水费、电费、邮电费、培训费、公务用车运行维护费、差旅费、因公出国（境）费用、公务接待费、工会</w:t>
      </w:r>
      <w:r>
        <w:rPr>
          <w:rFonts w:hint="eastAsia" w:ascii="仿宋_GB2312" w:hAnsi="宋体" w:eastAsia="仿宋_GB2312" w:cs="宋体"/>
          <w:color w:val="000000"/>
          <w:spacing w:val="-11"/>
          <w:kern w:val="0"/>
          <w:sz w:val="32"/>
          <w:szCs w:val="30"/>
        </w:rPr>
        <w:t>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C4714"/>
    <w:multiLevelType w:val="singleLevel"/>
    <w:tmpl w:val="A7BC4714"/>
    <w:lvl w:ilvl="0" w:tentative="0">
      <w:start w:val="2"/>
      <w:numFmt w:val="chineseCounting"/>
      <w:suff w:val="nothing"/>
      <w:lvlText w:val="（%1）"/>
      <w:lvlJc w:val="left"/>
      <w:pPr>
        <w:tabs>
          <w:tab w:val="left" w:pos="0"/>
        </w:tabs>
      </w:pPr>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4ABC7AD"/>
    <w:multiLevelType w:val="singleLevel"/>
    <w:tmpl w:val="64ABC7AD"/>
    <w:lvl w:ilvl="0" w:tentative="0">
      <w:start w:val="9"/>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卢秋月">
    <w15:presenceInfo w15:providerId="None" w15:userId="卢秋月"/>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C0EE3"/>
    <w:rsid w:val="015004CE"/>
    <w:rsid w:val="021A59ED"/>
    <w:rsid w:val="03894CCA"/>
    <w:rsid w:val="05336C50"/>
    <w:rsid w:val="0E444C0D"/>
    <w:rsid w:val="0F58626F"/>
    <w:rsid w:val="1544522D"/>
    <w:rsid w:val="16402FCD"/>
    <w:rsid w:val="18532EEC"/>
    <w:rsid w:val="1C5B5DC3"/>
    <w:rsid w:val="1F820FD2"/>
    <w:rsid w:val="1F894112"/>
    <w:rsid w:val="33423C98"/>
    <w:rsid w:val="37BE3466"/>
    <w:rsid w:val="3BB772C3"/>
    <w:rsid w:val="3E0E26C4"/>
    <w:rsid w:val="500C701F"/>
    <w:rsid w:val="54D10F06"/>
    <w:rsid w:val="660E7C75"/>
    <w:rsid w:val="68C84E94"/>
    <w:rsid w:val="6AE34A60"/>
    <w:rsid w:val="711B194D"/>
    <w:rsid w:val="765D6EAF"/>
    <w:rsid w:val="79275A84"/>
    <w:rsid w:val="7BA96619"/>
    <w:rsid w:val="7DEBCAFF"/>
    <w:rsid w:val="F9BB43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2023-09-12T15:53:57Z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