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lang w:val="en-US" w:eastAsia="zh-CN"/>
        </w:rPr>
        <w:t>2022年三亚市教育研究培训院</w:t>
      </w:r>
    </w:p>
    <w:p>
      <w:pPr>
        <w:jc w:val="center"/>
        <w:rPr>
          <w:rFonts w:hint="eastAsia" w:ascii="宋体" w:hAnsi="宋体" w:eastAsia="宋体" w:cs="宋体"/>
          <w:sz w:val="52"/>
          <w:szCs w:val="52"/>
        </w:rPr>
      </w:pPr>
      <w:r>
        <w:rPr>
          <w:rFonts w:hint="eastAsia" w:ascii="宋体" w:hAnsi="宋体" w:eastAsia="宋体" w:cs="宋体"/>
          <w:sz w:val="52"/>
          <w:szCs w:val="52"/>
          <w:lang w:eastAsia="zh-CN"/>
        </w:rPr>
        <w:t>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三亚市教育研究培训院单位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6"/>
        <w:numPr>
          <w:ilvl w:val="0"/>
          <w:numId w:val="1"/>
        </w:numPr>
        <w:ind w:firstLineChars="0"/>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三亚市教育研究培训院</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三亚市教育研究培训院</w:t>
      </w:r>
      <w:r>
        <w:rPr>
          <w:rFonts w:hint="eastAsia" w:ascii="黑体" w:hAnsi="黑体" w:eastAsia="黑体"/>
          <w:sz w:val="32"/>
          <w:szCs w:val="32"/>
          <w:lang w:val="en-US" w:eastAsia="zh-CN"/>
        </w:rPr>
        <w:t>2022年单位</w:t>
      </w:r>
      <w:r>
        <w:rPr>
          <w:rFonts w:hint="eastAsia" w:ascii="黑体" w:hAnsi="黑体" w:eastAsia="黑体" w:cs="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三亚市教育研究培训院单位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hint="eastAsia" w:ascii="黑体" w:hAnsi="黑体" w:eastAsia="黑体" w:cs="黑体"/>
          <w:sz w:val="32"/>
          <w:szCs w:val="32"/>
          <w:lang w:val="en-US" w:eastAsia="zh-CN"/>
        </w:rPr>
      </w:pPr>
      <w:r>
        <w:rPr>
          <w:rFonts w:hint="eastAsia" w:ascii="黑体" w:hAnsi="黑体" w:eastAsia="黑体" w:cs="黑体"/>
          <w:sz w:val="32"/>
          <w:szCs w:val="32"/>
        </w:rPr>
        <w:t>主要职能</w:t>
      </w:r>
    </w:p>
    <w:p>
      <w:pPr>
        <w:pStyle w:val="6"/>
        <w:numPr>
          <w:ilvl w:val="0"/>
          <w:numId w:val="0"/>
        </w:numPr>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（一）负责全市基础教育科研的规划和管理，从事基础教育、职业教育和特殊教育的教学研究、学校管理研究工作。</w:t>
      </w:r>
    </w:p>
    <w:p>
      <w:pPr>
        <w:pStyle w:val="6"/>
        <w:numPr>
          <w:ilvl w:val="0"/>
          <w:numId w:val="0"/>
        </w:numPr>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拟定全市基础教育课程改革计划及实施方案，提出教材和教辅的使用建议；承担全市基础教育课程改革和教学改革的实验，总结、推广课程改革和教学改革的先进经验和优秀成果，负责全市校本课程开发的指导和管理。</w:t>
      </w:r>
    </w:p>
    <w:p>
      <w:pPr>
        <w:pStyle w:val="6"/>
        <w:numPr>
          <w:ilvl w:val="0"/>
          <w:numId w:val="0"/>
        </w:numPr>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（三）研究学业质量评价方式，制定符合我市实验的义务教育质量监测制度，负责全市教育教学评价的研究和指导，承担教育教学质量监测的组织与实施、分析和反馈。</w:t>
      </w:r>
    </w:p>
    <w:p>
      <w:pPr>
        <w:pStyle w:val="6"/>
        <w:numPr>
          <w:ilvl w:val="0"/>
          <w:numId w:val="0"/>
        </w:numPr>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（四）承担全市中小学幼儿园教师和教育管理人员的业务培训，指导开展校（园）本研修，为研修提供优质服务和专业支持，参与教师继续教育工作的管理、督导和评估。</w:t>
      </w:r>
    </w:p>
    <w:p>
      <w:pPr>
        <w:pStyle w:val="6"/>
        <w:numPr>
          <w:ilvl w:val="0"/>
          <w:numId w:val="0"/>
        </w:numPr>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（五）针对全市基础教育发展中的重大课题，进行广泛深入的调查研究，提出切实可行的解决方案，为市政府和教育行政单位制定基础教育的政策规划提供咨询服务，</w:t>
      </w:r>
    </w:p>
    <w:p>
      <w:pPr>
        <w:pStyle w:val="6"/>
        <w:numPr>
          <w:ilvl w:val="0"/>
          <w:numId w:val="0"/>
        </w:numPr>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（六）承办上级主管单位交办的其他工作。</w:t>
      </w:r>
    </w:p>
    <w:p>
      <w:pPr>
        <w:pStyle w:val="6"/>
        <w:numPr>
          <w:ilvl w:val="0"/>
          <w:numId w:val="0"/>
        </w:num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二、机构设置</w:t>
      </w:r>
    </w:p>
    <w:p>
      <w:pPr>
        <w:pStyle w:val="6"/>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三亚市教研究培训院设四个内设机构，事业编制32名，设院长1名，副院长3名，科级领导职数4名。</w:t>
      </w:r>
    </w:p>
    <w:p>
      <w:pPr>
        <w:pStyle w:val="6"/>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纳入教育局2022年部门预算编制范围的预算单位为三亚市教育研究培训院。</w:t>
      </w:r>
    </w:p>
    <w:p>
      <w:pPr>
        <w:ind w:firstLine="960" w:firstLineChars="300"/>
        <w:rPr>
          <w:rFonts w:hint="eastAsia" w:ascii="黑体" w:hAnsi="黑体" w:eastAsia="黑体"/>
          <w:sz w:val="32"/>
          <w:szCs w:val="32"/>
        </w:rPr>
      </w:pPr>
    </w:p>
    <w:p>
      <w:pPr>
        <w:ind w:firstLine="960" w:firstLineChars="3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2022年单位</w:t>
      </w:r>
      <w:r>
        <w:rPr>
          <w:rFonts w:hint="eastAsia" w:ascii="黑体" w:hAnsi="黑体" w:eastAsia="黑体" w:cs="黑体"/>
          <w:sz w:val="32"/>
          <w:szCs w:val="32"/>
        </w:rPr>
        <w:t>预</w:t>
      </w:r>
      <w:r>
        <w:rPr>
          <w:rFonts w:hint="eastAsia" w:ascii="黑体" w:hAnsi="黑体" w:eastAsia="黑体"/>
          <w:sz w:val="32"/>
          <w:szCs w:val="32"/>
        </w:rPr>
        <w:t>算表</w:t>
      </w:r>
    </w:p>
    <w:p>
      <w:pPr>
        <w:ind w:firstLine="1920" w:firstLineChars="600"/>
        <w:rPr>
          <w:rFonts w:hint="eastAsia" w:ascii="黑体" w:hAnsi="黑体" w:eastAsia="黑体"/>
          <w:sz w:val="32"/>
          <w:szCs w:val="32"/>
          <w:lang w:eastAsia="zh-CN"/>
        </w:rPr>
      </w:pPr>
      <w:r>
        <w:rPr>
          <w:rFonts w:hint="eastAsia" w:ascii="黑体" w:hAnsi="黑体" w:eastAsia="黑体"/>
          <w:sz w:val="32"/>
          <w:szCs w:val="32"/>
          <w:lang w:eastAsia="zh-CN"/>
        </w:rPr>
        <w:t>（详见单位预算公开表）</w:t>
      </w:r>
    </w:p>
    <w:p>
      <w:pPr>
        <w:ind w:firstLine="640" w:firstLineChars="200"/>
        <w:rPr>
          <w:rFonts w:hint="eastAsia" w:ascii="黑体" w:hAnsi="黑体" w:eastAsia="黑体"/>
          <w:sz w:val="32"/>
          <w:szCs w:val="32"/>
        </w:rPr>
      </w:pPr>
    </w:p>
    <w:p>
      <w:pPr>
        <w:ind w:firstLine="840" w:firstLineChars="400"/>
        <w:rPr>
          <w:rFonts w:hint="eastAsia" w:eastAsia="宋体"/>
          <w:lang w:eastAsia="zh-CN"/>
        </w:rPr>
      </w:pPr>
    </w:p>
    <w:p>
      <w:pPr>
        <w:ind w:firstLine="1050" w:firstLineChars="500"/>
        <w:rPr>
          <w:rFonts w:ascii="黑体" w:hAnsi="黑体" w:eastAsia="黑体"/>
          <w:sz w:val="32"/>
          <w:szCs w:val="32"/>
        </w:rPr>
      </w:pPr>
      <w:r>
        <w:rPr>
          <w:rFonts w:hint="eastAsia" w:eastAsia="宋体"/>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4">
            <o:LockedField>false</o:LockedField>
          </o:OLEObject>
        </w:object>
      </w: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三亚市教育研究培训院单位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；支出总计1989.92万元，包括教育支出1772.41万元，社会保障和就业支出67.47万元，卫生健康支出108.35万元，住房保障支出41.68万元。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三亚市教育研究培训院</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503.31</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是人员支出增加。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1772.41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89.07</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67.47万元，占3.4%；卫生健康支出108.35万元，占5.44%；住房保障支出41.68万元，占2.09%。</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进修与培训</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教师进修</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1772.41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485.21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53.86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基本支出减少</w:t>
      </w:r>
      <w:r>
        <w:rPr>
          <w:rFonts w:hint="eastAsia" w:ascii="仿宋_GB2312" w:hAnsi="黑体" w:eastAsia="仿宋_GB2312"/>
          <w:sz w:val="32"/>
          <w:szCs w:val="32"/>
          <w:lang w:val="en-US" w:eastAsia="zh-CN"/>
        </w:rPr>
        <w:t>1.31万元。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3.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机关事业单位职业年金缴费（项）</w:t>
      </w:r>
      <w:r>
        <w:rPr>
          <w:rFonts w:hint="eastAsia" w:ascii="仿宋_GB2312" w:hAnsi="黑体" w:eastAsia="仿宋_GB2312" w:cs="仿宋_GB2312"/>
          <w:sz w:val="32"/>
          <w:szCs w:val="32"/>
          <w:lang w:val="en-US" w:eastAsia="zh-CN"/>
        </w:rPr>
        <w:t>2022年预算数</w:t>
      </w:r>
      <w:r>
        <w:rPr>
          <w:rFonts w:hint="eastAsia" w:ascii="仿宋_GB2312" w:hAnsi="黑体" w:eastAsia="仿宋_GB2312"/>
          <w:sz w:val="32"/>
          <w:szCs w:val="32"/>
        </w:rPr>
        <w:t>为</w:t>
      </w:r>
      <w:r>
        <w:rPr>
          <w:rFonts w:hint="eastAsia" w:ascii="仿宋_GB2312" w:hAnsi="黑体" w:eastAsia="仿宋_GB2312"/>
          <w:sz w:val="32"/>
          <w:szCs w:val="32"/>
          <w:lang w:val="en-US" w:eastAsia="zh-CN"/>
        </w:rPr>
        <w:t>12万元，比上年预算数增加12万元，主要是基本支出增加12万元。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4.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抚恤（款）其他优抚（项）</w:t>
      </w:r>
      <w:r>
        <w:rPr>
          <w:rFonts w:hint="eastAsia" w:ascii="仿宋_GB2312" w:hAnsi="黑体" w:eastAsia="仿宋_GB2312" w:cs="仿宋_GB2312"/>
          <w:sz w:val="32"/>
          <w:szCs w:val="32"/>
          <w:lang w:val="en-US" w:eastAsia="zh-CN"/>
        </w:rPr>
        <w:t>2022年预算数为1.61</w:t>
      </w:r>
      <w:r>
        <w:rPr>
          <w:rFonts w:hint="eastAsia" w:ascii="仿宋_GB2312" w:hAnsi="黑体" w:eastAsia="仿宋_GB2312"/>
          <w:sz w:val="32"/>
          <w:szCs w:val="32"/>
          <w:lang w:val="en-US" w:eastAsia="zh-CN"/>
        </w:rPr>
        <w:t>万元，比上年预算数持平，主要是基本支出持平。</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5.卫生健康（类）行政事业单位医疗（款）事业单位医疗（项）2022年预算数为28.61万元，比上年预算数减少0.7万元，主要是基本支出减少0.7万元。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6.卫生健康（类）行政事业单位医疗（款）公务员医疗补助（项）2022年预算数为79.74万元，比上年预算数增加9.14万元，主要人员基本支出。</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 住房保障（类）住房改革支出（款）住房公积金（项）2022年预算数为41.68万元，比上年预算数减少1.04万元，主要是基本支出减少1.04万元。</w:t>
      </w:r>
    </w:p>
    <w:p>
      <w:pPr>
        <w:ind w:firstLine="640"/>
        <w:rPr>
          <w:rFonts w:hint="eastAsia" w:ascii="黑体" w:hAnsi="黑体" w:eastAsia="黑体" w:cs="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707.92</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669.58</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公务员医疗补助缴费、住房公积金、医疗费、邮电费、对个人和家庭的补助、生活补助、奖励金。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38.34</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w:t>
      </w:r>
      <w:r>
        <w:rPr>
          <w:rFonts w:hint="eastAsia" w:ascii="仿宋_GB2312" w:hAnsi="黑体" w:eastAsia="仿宋_GB2312"/>
          <w:sz w:val="32"/>
          <w:szCs w:val="32"/>
          <w:lang w:eastAsia="zh-CN"/>
        </w:rPr>
        <w:t>公车用车运行维护费，其他商品和服务支出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我院</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3.3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3.3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0"/>
          <w:numId w:val="6"/>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三亚市教育研究培训院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我院</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（一）政府</w:t>
      </w:r>
      <w:r>
        <w:rPr>
          <w:rFonts w:hint="eastAsia" w:ascii="仿宋_GB2312" w:hAnsi="仿宋_GB2312" w:eastAsia="仿宋_GB2312" w:cs="仿宋_GB2312"/>
          <w:sz w:val="32"/>
          <w:szCs w:val="32"/>
          <w:lang w:val="en-US" w:eastAsia="zh-CN"/>
        </w:rPr>
        <w:t>性基金预算当年规模变化</w:t>
      </w:r>
      <w:r>
        <w:rPr>
          <w:rFonts w:hint="eastAsia" w:ascii="仿宋_GB2312" w:hAnsi="黑体" w:eastAsia="仿宋_GB2312" w:cs="仿宋_GB2312"/>
          <w:sz w:val="32"/>
          <w:szCs w:val="32"/>
          <w:lang w:eastAsia="zh-CN"/>
        </w:rPr>
        <w:t>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三亚市教育研究培训院</w:t>
      </w:r>
      <w:r>
        <w:rPr>
          <w:rFonts w:hint="eastAsia" w:ascii="仿宋_GB2312" w:hAnsi="仿宋_GB2312" w:eastAsia="仿宋_GB2312" w:cs="仿宋_GB2312"/>
          <w:sz w:val="32"/>
          <w:szCs w:val="32"/>
          <w:lang w:val="en-US" w:eastAsia="zh-CN"/>
        </w:rPr>
        <w:t>2022年政府性基金预算当年拨款0</w:t>
      </w:r>
      <w:r>
        <w:rPr>
          <w:rFonts w:ascii="Times New Roman" w:hAnsi="Times New Roman" w:eastAsia="仿宋_GB2312" w:cs="Times New Roman"/>
          <w:sz w:val="32"/>
          <w:shd w:val="clear" w:color="auto" w:fill="FFFFFF"/>
        </w:rPr>
        <w:t>万元，</w:t>
      </w:r>
      <w:r>
        <w:rPr>
          <w:rFonts w:hint="eastAsia" w:ascii="仿宋_GB2312" w:hAnsi="仿宋_GB2312" w:eastAsia="仿宋_GB2312" w:cs="仿宋_GB2312"/>
          <w:sz w:val="32"/>
          <w:szCs w:val="32"/>
          <w:lang w:val="en-US" w:eastAsia="zh-CN"/>
        </w:rPr>
        <w:t>与上年预算数持平。</w:t>
      </w:r>
    </w:p>
    <w:p>
      <w:pPr>
        <w:ind w:firstLine="640"/>
        <w:jc w:val="left"/>
        <w:rPr>
          <w:rFonts w:ascii="楷体" w:hAnsi="楷体" w:eastAsia="楷体"/>
          <w:sz w:val="32"/>
          <w:szCs w:val="32"/>
          <w:highlight w:val="none"/>
        </w:rPr>
      </w:pPr>
      <w:bookmarkStart w:id="0" w:name="_GoBack"/>
      <w:bookmarkEnd w:id="0"/>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rPr>
        <w:t>单位所有收入和支出均纳入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三亚市教育研究培训院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三亚市教育研究培训院</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405.51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教育收入增加</w:t>
      </w:r>
      <w:r>
        <w:rPr>
          <w:rFonts w:hint="eastAsia" w:ascii="仿宋_GB2312" w:hAnsi="黑体" w:eastAsia="仿宋_GB2312"/>
          <w:sz w:val="32"/>
          <w:szCs w:val="32"/>
          <w:lang w:val="en-US" w:eastAsia="zh-CN"/>
        </w:rPr>
        <w:t>406.81万元，社会保障和就业收入增加10.69万元，卫生健康收入增加8.44万元，住房保障收入减少1.04万元，结转下年减少19.4万元。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三亚市教育研究培训院</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707.92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35.58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1282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64.42</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424.91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基本支出减少</w:t>
      </w:r>
      <w:r>
        <w:rPr>
          <w:rFonts w:hint="eastAsia" w:ascii="仿宋_GB2312" w:hAnsi="黑体" w:eastAsia="仿宋_GB2312"/>
          <w:sz w:val="32"/>
          <w:szCs w:val="32"/>
          <w:lang w:val="en-US" w:eastAsia="zh-CN"/>
        </w:rPr>
        <w:t>8.69万元，项目支出增加433.6万元。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（一）国有资产占有使用情况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1989.92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三亚市教育研究培训院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640637191">
    <w:nsid w:val="9D64ED07"/>
    <w:multiLevelType w:val="singleLevel"/>
    <w:tmpl w:val="9D64ED07"/>
    <w:lvl w:ilvl="0" w:tentative="1">
      <w:start w:val="2"/>
      <w:numFmt w:val="chineseCounting"/>
      <w:suff w:val="nothing"/>
      <w:lvlText w:val="（%1）"/>
      <w:lvlJc w:val="left"/>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6406371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00B30"/>
    <w:rsid w:val="026D27A3"/>
    <w:rsid w:val="031A73CA"/>
    <w:rsid w:val="03460898"/>
    <w:rsid w:val="03FA5614"/>
    <w:rsid w:val="04001E43"/>
    <w:rsid w:val="0434428C"/>
    <w:rsid w:val="04612A5C"/>
    <w:rsid w:val="057B054B"/>
    <w:rsid w:val="0581034F"/>
    <w:rsid w:val="06A7691F"/>
    <w:rsid w:val="08203630"/>
    <w:rsid w:val="0B233C96"/>
    <w:rsid w:val="0CAB26FA"/>
    <w:rsid w:val="0CD94CDF"/>
    <w:rsid w:val="0F176149"/>
    <w:rsid w:val="104F7FBE"/>
    <w:rsid w:val="10CE01C2"/>
    <w:rsid w:val="111B6D13"/>
    <w:rsid w:val="11C561FE"/>
    <w:rsid w:val="1257673D"/>
    <w:rsid w:val="1362645E"/>
    <w:rsid w:val="13CA7B22"/>
    <w:rsid w:val="140938E6"/>
    <w:rsid w:val="14AB4C52"/>
    <w:rsid w:val="15E03846"/>
    <w:rsid w:val="15E52B1F"/>
    <w:rsid w:val="169B2FA1"/>
    <w:rsid w:val="16B16E17"/>
    <w:rsid w:val="17C62BBA"/>
    <w:rsid w:val="184452A2"/>
    <w:rsid w:val="186B2751"/>
    <w:rsid w:val="18941128"/>
    <w:rsid w:val="190227A9"/>
    <w:rsid w:val="1BD963EA"/>
    <w:rsid w:val="1D331AF4"/>
    <w:rsid w:val="1EB82D1E"/>
    <w:rsid w:val="201A0A69"/>
    <w:rsid w:val="207748D1"/>
    <w:rsid w:val="21820DD1"/>
    <w:rsid w:val="22D179D0"/>
    <w:rsid w:val="2301446F"/>
    <w:rsid w:val="23C61A2B"/>
    <w:rsid w:val="26597502"/>
    <w:rsid w:val="265E7B7B"/>
    <w:rsid w:val="26BD7BDA"/>
    <w:rsid w:val="27976775"/>
    <w:rsid w:val="28AD43BC"/>
    <w:rsid w:val="28EB4C94"/>
    <w:rsid w:val="2B706FFF"/>
    <w:rsid w:val="2CA534FD"/>
    <w:rsid w:val="2CD330D5"/>
    <w:rsid w:val="2CD7711A"/>
    <w:rsid w:val="2D036221"/>
    <w:rsid w:val="2D532A43"/>
    <w:rsid w:val="2F450FE8"/>
    <w:rsid w:val="302F6AE4"/>
    <w:rsid w:val="314000DB"/>
    <w:rsid w:val="327C2ACB"/>
    <w:rsid w:val="32981BB4"/>
    <w:rsid w:val="33FC7570"/>
    <w:rsid w:val="351A2537"/>
    <w:rsid w:val="3BAB4F8E"/>
    <w:rsid w:val="3BED251F"/>
    <w:rsid w:val="3DAC5FC7"/>
    <w:rsid w:val="3E32642A"/>
    <w:rsid w:val="403E4CA9"/>
    <w:rsid w:val="40654900"/>
    <w:rsid w:val="40B033D0"/>
    <w:rsid w:val="43B579A7"/>
    <w:rsid w:val="43C70910"/>
    <w:rsid w:val="43CC7D66"/>
    <w:rsid w:val="454B2845"/>
    <w:rsid w:val="478D317F"/>
    <w:rsid w:val="47EA4361"/>
    <w:rsid w:val="4A3B18EB"/>
    <w:rsid w:val="4B30520E"/>
    <w:rsid w:val="4D1E59AB"/>
    <w:rsid w:val="4F392A8B"/>
    <w:rsid w:val="50767F3A"/>
    <w:rsid w:val="50C32BE9"/>
    <w:rsid w:val="528E4826"/>
    <w:rsid w:val="5379561F"/>
    <w:rsid w:val="541619F4"/>
    <w:rsid w:val="54ED2D47"/>
    <w:rsid w:val="556524E2"/>
    <w:rsid w:val="557E70A3"/>
    <w:rsid w:val="56067086"/>
    <w:rsid w:val="56712B7D"/>
    <w:rsid w:val="57292296"/>
    <w:rsid w:val="574176A0"/>
    <w:rsid w:val="579B2C45"/>
    <w:rsid w:val="590112CF"/>
    <w:rsid w:val="59193EFE"/>
    <w:rsid w:val="594B4BC8"/>
    <w:rsid w:val="5956645A"/>
    <w:rsid w:val="596A123B"/>
    <w:rsid w:val="5ADB1BB4"/>
    <w:rsid w:val="5B5B51AA"/>
    <w:rsid w:val="5BB941FD"/>
    <w:rsid w:val="5BE65D8B"/>
    <w:rsid w:val="5C900E14"/>
    <w:rsid w:val="5CE21D67"/>
    <w:rsid w:val="5DE81C84"/>
    <w:rsid w:val="5F7F4CAA"/>
    <w:rsid w:val="608645D4"/>
    <w:rsid w:val="60E97DAC"/>
    <w:rsid w:val="618B0AA3"/>
    <w:rsid w:val="61CA724F"/>
    <w:rsid w:val="62D51959"/>
    <w:rsid w:val="6422359C"/>
    <w:rsid w:val="6462199F"/>
    <w:rsid w:val="64F50622"/>
    <w:rsid w:val="669F0E21"/>
    <w:rsid w:val="67DB1E94"/>
    <w:rsid w:val="68D22F42"/>
    <w:rsid w:val="69381729"/>
    <w:rsid w:val="6A4D6015"/>
    <w:rsid w:val="6B1B29BD"/>
    <w:rsid w:val="6CB45D47"/>
    <w:rsid w:val="6CCB5E24"/>
    <w:rsid w:val="6D064E5F"/>
    <w:rsid w:val="6D246772"/>
    <w:rsid w:val="6D7405CF"/>
    <w:rsid w:val="6DBA6B50"/>
    <w:rsid w:val="6E952B8B"/>
    <w:rsid w:val="6ECC2DAD"/>
    <w:rsid w:val="6FA966BD"/>
    <w:rsid w:val="70E5031E"/>
    <w:rsid w:val="724C40A8"/>
    <w:rsid w:val="74630BF0"/>
    <w:rsid w:val="79EE4521"/>
    <w:rsid w:val="7A6D1D1A"/>
    <w:rsid w:val="7B926AB0"/>
    <w:rsid w:val="7CDE7148"/>
    <w:rsid w:val="7D3B5574"/>
    <w:rsid w:val="7DC56061"/>
    <w:rsid w:val="7DDA0108"/>
    <w:rsid w:val="7EF87159"/>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character" w:customStyle="1" w:styleId="10">
    <w:name w:val="font3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张皇姬</cp:lastModifiedBy>
  <dcterms:modified xsi:type="dcterms:W3CDTF">2023-08-03T07:03:08Z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