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eastAsia="zh-CN"/>
        </w:rPr>
        <w:t>三亚市育才中心学校</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三亚市育才中心学校</w:t>
      </w:r>
      <w:r>
        <w:rPr>
          <w:rFonts w:hint="eastAsia" w:ascii="黑体" w:hAnsi="黑体" w:eastAsia="黑体"/>
          <w:sz w:val="32"/>
          <w:szCs w:val="32"/>
        </w:rPr>
        <w:t>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lang w:eastAsia="zh-CN"/>
        </w:rPr>
        <w:t>机构设置情况</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三亚市育才中心学校</w:t>
      </w:r>
      <w:r>
        <w:rPr>
          <w:rFonts w:hint="eastAsia" w:ascii="黑体" w:hAnsi="黑体" w:eastAsia="黑体" w:cs="黑体"/>
          <w:sz w:val="32"/>
          <w:szCs w:val="32"/>
          <w:lang w:val="en-US" w:eastAsia="zh-CN"/>
        </w:rPr>
        <w:t>2022</w:t>
      </w:r>
      <w:r>
        <w:rPr>
          <w:rFonts w:hint="eastAsia" w:ascii="黑体" w:hAnsi="黑体" w:eastAsia="黑体"/>
          <w:sz w:val="32"/>
          <w:szCs w:val="32"/>
        </w:rPr>
        <w:t>年部门（单位）预算表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hint="eastAsia"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三亚市育才中心学校</w:t>
      </w:r>
      <w:r>
        <w:rPr>
          <w:rFonts w:hint="eastAsia" w:ascii="黑体" w:hAnsi="黑体" w:eastAsia="黑体"/>
          <w:sz w:val="32"/>
          <w:szCs w:val="32"/>
          <w:lang w:val="en-US" w:eastAsia="zh-CN"/>
        </w:rPr>
        <w:t>2022</w:t>
      </w:r>
      <w:r>
        <w:rPr>
          <w:rFonts w:hint="eastAsia" w:ascii="黑体" w:hAnsi="黑体" w:eastAsia="黑体"/>
          <w:sz w:val="32"/>
          <w:szCs w:val="32"/>
        </w:rPr>
        <w:t>年单位预算情况说明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4"/>
        <w:numPr>
          <w:ilvl w:val="0"/>
          <w:numId w:val="4"/>
        </w:numPr>
        <w:ind w:firstLineChars="0"/>
        <w:jc w:val="center"/>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三亚市育才中心学校</w:t>
      </w:r>
      <w:r>
        <w:rPr>
          <w:rFonts w:hint="eastAsia" w:ascii="黑体" w:hAnsi="黑体" w:eastAsia="黑体"/>
          <w:sz w:val="32"/>
          <w:szCs w:val="32"/>
        </w:rPr>
        <w:t>概况</w:t>
      </w:r>
    </w:p>
    <w:p>
      <w:pPr>
        <w:jc w:val="left"/>
        <w:rPr>
          <w:rFonts w:hint="eastAsia" w:ascii="黑体" w:hAnsi="黑体" w:eastAsia="黑体" w:cs="黑体"/>
          <w:sz w:val="32"/>
          <w:szCs w:val="32"/>
        </w:rPr>
      </w:pPr>
    </w:p>
    <w:p>
      <w:pPr>
        <w:pStyle w:val="4"/>
        <w:numPr>
          <w:ilvl w:val="0"/>
          <w:numId w:val="5"/>
        </w:numPr>
        <w:ind w:firstLineChars="0"/>
        <w:jc w:val="left"/>
        <w:rPr>
          <w:rFonts w:hint="eastAsia" w:ascii="黑体" w:hAnsi="黑体" w:eastAsia="黑体" w:cs="黑体"/>
          <w:sz w:val="32"/>
          <w:szCs w:val="32"/>
        </w:rPr>
      </w:pPr>
      <w:r>
        <w:rPr>
          <w:rFonts w:hint="eastAsia" w:ascii="黑体" w:hAnsi="黑体" w:eastAsia="黑体" w:cs="黑体"/>
          <w:sz w:val="32"/>
          <w:szCs w:val="32"/>
        </w:rPr>
        <w:t>主要职能</w:t>
      </w:r>
    </w:p>
    <w:p>
      <w:pPr>
        <w:pStyle w:val="4"/>
        <w:numPr>
          <w:ilvl w:val="0"/>
          <w:numId w:val="0"/>
        </w:numPr>
        <w:ind w:left="0" w:firstLineChars="0"/>
        <w:jc w:val="center"/>
        <w:rPr>
          <w:rFonts w:hint="eastAsia" w:ascii="黑体" w:hAnsi="黑体" w:eastAsia="黑体" w:cs="黑体"/>
          <w:sz w:val="32"/>
          <w:szCs w:val="32"/>
        </w:rPr>
      </w:pPr>
      <w:r>
        <w:rPr>
          <w:rFonts w:hint="eastAsia" w:ascii="黑体" w:hAnsi="黑体" w:eastAsia="黑体" w:cs="黑体"/>
          <w:sz w:val="32"/>
          <w:szCs w:val="32"/>
          <w:lang w:val="en-US" w:eastAsia="zh-CN"/>
        </w:rPr>
        <w:t>实施小学义务教育，促进基础教育发展</w:t>
      </w:r>
    </w:p>
    <w:p>
      <w:pPr>
        <w:pStyle w:val="4"/>
        <w:numPr>
          <w:ilvl w:val="0"/>
          <w:numId w:val="0"/>
        </w:numPr>
        <w:ind w:leftChars="0"/>
        <w:jc w:val="left"/>
        <w:rPr>
          <w:rFonts w:hint="eastAsia" w:ascii="黑体" w:hAnsi="黑体" w:eastAsia="黑体" w:cs="黑体"/>
          <w:color w:val="auto"/>
          <w:sz w:val="32"/>
          <w:szCs w:val="32"/>
        </w:rPr>
      </w:pPr>
      <w:r>
        <w:rPr>
          <w:rFonts w:hint="eastAsia" w:ascii="黑体" w:hAnsi="黑体" w:eastAsia="黑体" w:cs="黑体"/>
          <w:color w:val="auto"/>
          <w:sz w:val="32"/>
          <w:szCs w:val="32"/>
          <w:lang w:eastAsia="zh-CN"/>
        </w:rPr>
        <w:t>二、机构设置情况</w:t>
      </w:r>
      <w:bookmarkStart w:id="0" w:name="_GoBack"/>
      <w:bookmarkEnd w:id="0"/>
    </w:p>
    <w:p>
      <w:pPr>
        <w:pStyle w:val="4"/>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default" w:ascii="仿宋_GB2312" w:hAnsi="ˎ̥" w:eastAsia="仿宋_GB2312" w:cs="Times New Roman"/>
          <w:color w:val="auto"/>
          <w:sz w:val="32"/>
          <w:szCs w:val="32"/>
          <w:lang w:val="en-US" w:eastAsia="zh-CN"/>
        </w:rPr>
      </w:pPr>
      <w:r>
        <w:rPr>
          <w:rFonts w:hint="eastAsia" w:ascii="仿宋_GB2312" w:hAnsi="ˎ̥" w:eastAsia="仿宋_GB2312" w:cs="Times New Roman"/>
          <w:color w:val="auto"/>
          <w:sz w:val="32"/>
          <w:szCs w:val="32"/>
          <w:lang w:val="en-US" w:eastAsia="zh-CN"/>
        </w:rPr>
        <w:t>三亚市育才中心学校设7个内设机构，事业编制22名，设校长1名，副校长3名，部门主任10名。</w:t>
      </w:r>
    </w:p>
    <w:p>
      <w:pPr>
        <w:ind w:firstLine="800" w:firstLineChars="250"/>
        <w:jc w:val="left"/>
        <w:rPr>
          <w:rFonts w:hint="eastAsia" w:ascii="仿宋_GB2312" w:hAnsi="黑体" w:eastAsia="仿宋_GB2312" w:cs="仿宋_GB2312"/>
          <w:color w:val="auto"/>
          <w:sz w:val="32"/>
          <w:szCs w:val="32"/>
          <w:lang w:eastAsia="zh-CN"/>
        </w:rPr>
      </w:pPr>
      <w:r>
        <w:rPr>
          <w:rFonts w:hint="eastAsia" w:ascii="仿宋_GB2312" w:hAnsi="ˎ̥" w:eastAsia="仿宋_GB2312" w:cs="Times New Roman"/>
          <w:color w:val="auto"/>
          <w:sz w:val="32"/>
          <w:szCs w:val="32"/>
          <w:lang w:val="en-US" w:eastAsia="zh-CN"/>
        </w:rPr>
        <w:t>纳入三亚市育才生态区管理委员会部门2022年部门预算编制范围的预算单位为三亚市育才中心学校。</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三亚市育才中心学校</w:t>
      </w:r>
      <w:r>
        <w:rPr>
          <w:rFonts w:hint="eastAsia" w:ascii="黑体" w:hAnsi="黑体" w:eastAsia="黑体" w:cs="黑体"/>
          <w:sz w:val="32"/>
          <w:szCs w:val="32"/>
          <w:lang w:val="en-US" w:eastAsia="zh-CN"/>
        </w:rPr>
        <w:t>2022</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三亚市育才中心学校</w:t>
      </w:r>
      <w:r>
        <w:rPr>
          <w:rFonts w:hint="eastAsia" w:ascii="黑体" w:hAnsi="黑体" w:eastAsia="黑体" w:cs="黑体"/>
          <w:sz w:val="32"/>
          <w:szCs w:val="32"/>
          <w:lang w:val="en-US" w:eastAsia="zh-CN"/>
        </w:rPr>
        <w:t>2022</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三亚市育才中心学校</w:t>
      </w:r>
      <w:r>
        <w:rPr>
          <w:rFonts w:hint="eastAsia" w:ascii="黑体" w:hAnsi="黑体" w:eastAsia="黑体" w:cs="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hint="eastAsia" w:ascii="仿宋_GB2312" w:hAnsi="黑体" w:eastAsia="仿宋_GB2312"/>
          <w:sz w:val="32"/>
          <w:szCs w:val="32"/>
        </w:rPr>
      </w:pPr>
      <w:r>
        <w:rPr>
          <w:rFonts w:hint="eastAsia" w:ascii="仿宋_GB2312" w:hAnsi="黑体" w:eastAsia="仿宋_GB2312" w:cs="仿宋_GB2312"/>
          <w:sz w:val="32"/>
          <w:szCs w:val="32"/>
          <w:lang w:eastAsia="zh-CN"/>
        </w:rPr>
        <w:t>三亚市育才中心学校</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719.87</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719.87</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719.87</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719.87</w:t>
      </w:r>
      <w:r>
        <w:rPr>
          <w:rFonts w:hint="eastAsia" w:ascii="仿宋_GB2312" w:hAnsi="黑体" w:eastAsia="仿宋_GB2312"/>
          <w:sz w:val="32"/>
          <w:szCs w:val="32"/>
        </w:rPr>
        <w:t>万元，包括教育支出</w:t>
      </w:r>
      <w:r>
        <w:rPr>
          <w:rFonts w:hint="eastAsia" w:ascii="仿宋_GB2312" w:hAnsi="黑体" w:eastAsia="仿宋_GB2312" w:cs="仿宋_GB2312"/>
          <w:sz w:val="32"/>
          <w:szCs w:val="32"/>
          <w:lang w:val="en-US" w:eastAsia="zh-CN"/>
        </w:rPr>
        <w:t>506.97</w:t>
      </w:r>
      <w:r>
        <w:rPr>
          <w:rFonts w:hint="eastAsia" w:ascii="仿宋_GB2312" w:hAnsi="黑体" w:eastAsia="仿宋_GB2312"/>
          <w:sz w:val="32"/>
          <w:szCs w:val="32"/>
        </w:rPr>
        <w:t>万元、社会保障和就业支出</w:t>
      </w:r>
      <w:r>
        <w:rPr>
          <w:rFonts w:hint="eastAsia" w:ascii="仿宋_GB2312" w:hAnsi="黑体" w:eastAsia="仿宋_GB2312" w:cs="仿宋_GB2312"/>
          <w:sz w:val="32"/>
          <w:szCs w:val="32"/>
          <w:lang w:val="en-US" w:eastAsia="zh-CN"/>
        </w:rPr>
        <w:t>115.26</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lang w:val="en-US" w:eastAsia="zh-CN"/>
        </w:rPr>
        <w:t>66.82</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30.82</w:t>
      </w:r>
      <w:r>
        <w:rPr>
          <w:rFonts w:hint="eastAsia" w:ascii="仿宋_GB2312" w:hAnsi="黑体" w:eastAsia="仿宋_GB2312"/>
          <w:sz w:val="32"/>
          <w:szCs w:val="32"/>
          <w:lang w:eastAsia="zh-CN"/>
        </w:rPr>
        <w:t>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三亚市育才中心学校</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三亚市育才中心学校</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719.87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52.96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在人员薪资增长，基本工资、绩效工资及津贴补贴等预算也增加指标。</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教育支出</w:t>
      </w:r>
      <w:r>
        <w:rPr>
          <w:rFonts w:hint="eastAsia" w:ascii="仿宋_GB2312" w:hAnsi="黑体" w:eastAsia="仿宋_GB2312" w:cs="仿宋_GB2312"/>
          <w:sz w:val="32"/>
          <w:szCs w:val="32"/>
          <w:lang w:val="en-US" w:eastAsia="zh-CN"/>
        </w:rPr>
        <w:t>506.97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70.43</w:t>
      </w:r>
      <w:r>
        <w:rPr>
          <w:rFonts w:hint="eastAsia" w:ascii="仿宋_GB2312" w:hAnsi="黑体" w:eastAsia="仿宋_GB2312"/>
          <w:sz w:val="32"/>
          <w:szCs w:val="32"/>
        </w:rPr>
        <w:t>%；社会保障和就业</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115.26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16.01</w:t>
      </w:r>
      <w:r>
        <w:rPr>
          <w:rFonts w:hint="eastAsia" w:ascii="仿宋_GB2312" w:hAnsi="黑体" w:eastAsia="仿宋_GB2312"/>
          <w:sz w:val="32"/>
          <w:szCs w:val="32"/>
        </w:rPr>
        <w:t>%；卫生健康</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66.82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9.28</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30.82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4.28</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1.教育（类）普通教育（款）小学教育（项）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506.97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24.96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工资福利支出增加了预算。</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2.社会保障和就业</w:t>
      </w:r>
      <w:r>
        <w:rPr>
          <w:rFonts w:hint="eastAsia" w:ascii="仿宋_GB2312" w:hAnsi="黑体" w:eastAsia="仿宋_GB2312" w:cs="仿宋_GB2312"/>
          <w:sz w:val="32"/>
          <w:szCs w:val="32"/>
        </w:rPr>
        <w:t>（类）行政事业单位养老（款）机关事业单位基本养老保险缴费（项）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39.78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4.42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养老保险基数逐年增加。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.社会保障和就业</w:t>
      </w:r>
      <w:r>
        <w:rPr>
          <w:rFonts w:hint="eastAsia" w:ascii="仿宋_GB2312" w:hAnsi="黑体" w:eastAsia="仿宋_GB2312" w:cs="仿宋_GB2312"/>
          <w:sz w:val="32"/>
          <w:szCs w:val="32"/>
        </w:rPr>
        <w:t>（类）抚恤（款）其他优抚支出（项）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75.48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预算与上年持平。</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.卫生健康（类）行政事业单位医疗（款）事业单位医疗（项）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21.13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2.35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医疗保险基数逐年增加。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5.</w:t>
      </w:r>
      <w:r>
        <w:rPr>
          <w:rFonts w:hint="eastAsia" w:ascii="仿宋_GB2312" w:hAnsi="黑体" w:eastAsia="仿宋_GB2312" w:cs="仿宋_GB2312"/>
          <w:sz w:val="32"/>
          <w:szCs w:val="32"/>
        </w:rPr>
        <w:t>卫生健康（类）行政事业单位医疗（款）公务员医疗补助（项）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45.69</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17.84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上年公补指标严重不足，因此本年度适当增加预算指标。</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6.</w:t>
      </w:r>
      <w:r>
        <w:rPr>
          <w:rFonts w:hint="eastAsia" w:ascii="仿宋_GB2312" w:hAnsi="黑体" w:eastAsia="仿宋_GB2312" w:cs="仿宋_GB2312"/>
          <w:sz w:val="32"/>
          <w:szCs w:val="32"/>
        </w:rPr>
        <w:t>住房保障（类）住房改革（款）住房公积金（项）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30.82</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2.97</w:t>
      </w:r>
      <w:r>
        <w:rPr>
          <w:rFonts w:hint="eastAsia" w:ascii="仿宋_GB2312" w:hAnsi="黑体" w:eastAsia="仿宋_GB2312"/>
          <w:sz w:val="32"/>
          <w:szCs w:val="32"/>
        </w:rPr>
        <w:t>万元，主要</w:t>
      </w:r>
      <w:r>
        <w:rPr>
          <w:rFonts w:hint="eastAsia" w:ascii="仿宋_GB2312" w:hAnsi="黑体" w:eastAsia="仿宋_GB2312"/>
          <w:sz w:val="32"/>
          <w:szCs w:val="32"/>
          <w:lang w:eastAsia="zh-CN"/>
        </w:rPr>
        <w:t>总薪资提高住房公积金基数也相应提高。</w:t>
      </w:r>
    </w:p>
    <w:p>
      <w:pPr>
        <w:ind w:firstLine="640"/>
        <w:rPr>
          <w:rFonts w:ascii="黑体" w:hAnsi="黑体" w:eastAsia="黑体"/>
          <w:sz w:val="32"/>
          <w:szCs w:val="32"/>
        </w:rPr>
      </w:pPr>
      <w:r>
        <w:rPr>
          <w:rFonts w:hint="eastAsia" w:ascii="黑体" w:hAnsi="黑体" w:eastAsia="黑体"/>
          <w:sz w:val="32"/>
          <w:szCs w:val="32"/>
        </w:rPr>
        <w:t>三、</w:t>
      </w:r>
      <w:r>
        <w:rPr>
          <w:rFonts w:hint="eastAsia" w:ascii="黑体" w:hAnsi="黑体" w:eastAsia="黑体" w:cs="黑体"/>
          <w:sz w:val="32"/>
          <w:szCs w:val="32"/>
        </w:rPr>
        <w:t>关于</w:t>
      </w:r>
      <w:r>
        <w:rPr>
          <w:rFonts w:hint="eastAsia" w:ascii="黑体" w:hAnsi="黑体" w:eastAsia="黑体" w:cs="黑体"/>
          <w:sz w:val="32"/>
          <w:szCs w:val="32"/>
          <w:lang w:eastAsia="zh-CN"/>
        </w:rPr>
        <w:t>三亚市育才中心学校</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三亚市育才中心学校</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639.87</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607.72</w:t>
      </w:r>
      <w:r>
        <w:rPr>
          <w:rFonts w:hint="eastAsia" w:ascii="仿宋_GB2312" w:hAnsi="黑体" w:eastAsia="仿宋_GB2312"/>
          <w:sz w:val="32"/>
          <w:szCs w:val="32"/>
        </w:rPr>
        <w:t>万元，主要包括：基本工资、津贴补贴、奖金、社会保障缴费、住房公积金</w:t>
      </w:r>
      <w:r>
        <w:rPr>
          <w:rFonts w:hint="eastAsia" w:ascii="仿宋_GB2312" w:hAnsi="黑体" w:eastAsia="仿宋_GB2312"/>
          <w:sz w:val="32"/>
          <w:szCs w:val="32"/>
          <w:lang w:eastAsia="zh-CN"/>
        </w:rPr>
        <w:t>、邮电费、奖励金、对个人和家庭的补助</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32.15</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、其他社会保障缴费</w:t>
      </w:r>
      <w:r>
        <w:rPr>
          <w:rFonts w:hint="eastAsia" w:ascii="仿宋_GB2312" w:hAnsi="黑体" w:eastAsia="仿宋_GB2312"/>
          <w:sz w:val="32"/>
          <w:szCs w:val="32"/>
        </w:rPr>
        <w:t>、工会经费、福利费、其他商品和服务支出</w:t>
      </w:r>
      <w:r>
        <w:rPr>
          <w:rFonts w:hint="eastAsia" w:ascii="仿宋_GB2312" w:hAnsi="黑体" w:eastAsia="仿宋_GB2312"/>
          <w:sz w:val="32"/>
          <w:szCs w:val="32"/>
          <w:lang w:eastAsia="zh-CN"/>
        </w:rPr>
        <w:t>。</w:t>
      </w:r>
    </w:p>
    <w:p>
      <w:p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三亚市育才中心学校</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rPr>
        <w:t>（一）三亚市育才</w:t>
      </w:r>
      <w:r>
        <w:rPr>
          <w:rFonts w:hint="eastAsia" w:ascii="仿宋_GB2312" w:hAnsi="黑体" w:eastAsia="仿宋_GB2312"/>
          <w:color w:val="auto"/>
          <w:sz w:val="32"/>
          <w:szCs w:val="32"/>
          <w:lang w:eastAsia="zh-CN"/>
        </w:rPr>
        <w:t>中心学校</w:t>
      </w:r>
      <w:r>
        <w:rPr>
          <w:rFonts w:hint="eastAsia" w:ascii="仿宋_GB2312" w:hAnsi="黑体" w:eastAsia="仿宋_GB2312"/>
          <w:color w:val="auto"/>
          <w:sz w:val="32"/>
          <w:szCs w:val="32"/>
        </w:rPr>
        <w:t>2022年一般公共预算“三公”经费预算数为0万元，</w:t>
      </w:r>
      <w:r>
        <w:rPr>
          <w:rFonts w:hint="eastAsia" w:ascii="仿宋_GB2312" w:hAnsi="仿宋_GB2312" w:eastAsia="仿宋_GB2312" w:cs="仿宋_GB2312"/>
          <w:color w:val="auto"/>
          <w:kern w:val="0"/>
          <w:sz w:val="32"/>
          <w:szCs w:val="32"/>
          <w:highlight w:val="none"/>
        </w:rPr>
        <w:t>本年没有发生与该表相关的收支决算数据</w:t>
      </w:r>
      <w:r>
        <w:rPr>
          <w:rFonts w:hint="eastAsia" w:ascii="仿宋_GB2312" w:hAnsi="仿宋_GB2312" w:eastAsia="仿宋_GB2312" w:cs="仿宋_GB2312"/>
          <w:color w:val="auto"/>
          <w:kern w:val="0"/>
          <w:sz w:val="32"/>
          <w:szCs w:val="32"/>
          <w:highlight w:val="none"/>
          <w:lang w:eastAsia="zh-CN"/>
        </w:rPr>
        <w:t>。</w:t>
      </w:r>
    </w:p>
    <w:p>
      <w:pPr>
        <w:ind w:firstLine="640" w:firstLineChars="200"/>
        <w:rPr>
          <w:rFonts w:hint="eastAsia" w:ascii="黑体" w:hAnsi="黑体" w:eastAsia="黑体" w:cs="Times New Roman"/>
          <w:sz w:val="32"/>
          <w:shd w:val="clear" w:color="auto" w:fill="FFFFFF"/>
        </w:rPr>
      </w:pPr>
      <w:r>
        <w:rPr>
          <w:rFonts w:hint="eastAsia" w:ascii="仿宋_GB2312" w:hAnsi="黑体" w:eastAsia="仿宋_GB2312"/>
          <w:color w:val="auto"/>
          <w:sz w:val="32"/>
          <w:szCs w:val="32"/>
        </w:rPr>
        <w:t>（二）三亚市育才</w:t>
      </w:r>
      <w:r>
        <w:rPr>
          <w:rFonts w:hint="eastAsia" w:ascii="仿宋_GB2312" w:hAnsi="黑体" w:eastAsia="仿宋_GB2312"/>
          <w:color w:val="auto"/>
          <w:sz w:val="32"/>
          <w:szCs w:val="32"/>
          <w:lang w:eastAsia="zh-CN"/>
        </w:rPr>
        <w:t>中心学校</w:t>
      </w:r>
      <w:r>
        <w:rPr>
          <w:rFonts w:hint="eastAsia" w:ascii="仿宋_GB2312" w:hAnsi="黑体" w:eastAsia="仿宋_GB2312"/>
          <w:color w:val="auto"/>
          <w:sz w:val="32"/>
          <w:szCs w:val="32"/>
        </w:rPr>
        <w:t>2022年政府性基金预算“三公”经费预算数为0万，</w:t>
      </w:r>
      <w:r>
        <w:rPr>
          <w:rFonts w:hint="eastAsia" w:ascii="仿宋_GB2312" w:hAnsi="仿宋_GB2312" w:eastAsia="仿宋_GB2312" w:cs="仿宋_GB2312"/>
          <w:color w:val="auto"/>
          <w:kern w:val="0"/>
          <w:sz w:val="32"/>
          <w:szCs w:val="32"/>
          <w:highlight w:val="none"/>
        </w:rPr>
        <w:t>本年没有发生与该表相关的收支决算数据</w:t>
      </w:r>
      <w:r>
        <w:rPr>
          <w:rFonts w:hint="eastAsia" w:ascii="仿宋_GB2312" w:hAnsi="仿宋_GB2312" w:eastAsia="仿宋_GB2312" w:cs="仿宋_GB2312"/>
          <w:color w:val="auto"/>
          <w:kern w:val="0"/>
          <w:sz w:val="32"/>
          <w:szCs w:val="32"/>
          <w:highlight w:val="none"/>
          <w:lang w:eastAsia="zh-CN"/>
        </w:rPr>
        <w:t>。</w:t>
      </w:r>
    </w:p>
    <w:p>
      <w:pPr>
        <w:numPr>
          <w:ilvl w:val="0"/>
          <w:numId w:val="6"/>
        </w:num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关于</w:t>
      </w:r>
      <w:r>
        <w:rPr>
          <w:rFonts w:hint="eastAsia" w:ascii="黑体" w:hAnsi="黑体" w:eastAsia="黑体" w:cs="黑体"/>
          <w:sz w:val="32"/>
          <w:szCs w:val="32"/>
          <w:lang w:eastAsia="zh-CN"/>
        </w:rPr>
        <w:t>三亚市育才中心学校</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numPr>
          <w:ilvl w:val="0"/>
          <w:numId w:val="7"/>
        </w:numPr>
        <w:ind w:left="638" w:leftChars="304" w:firstLine="0" w:firstLineChars="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rPr>
        <w:t>政府性基金预算当年规模变化情况</w:t>
      </w:r>
    </w:p>
    <w:p>
      <w:pPr>
        <w:numPr>
          <w:ilvl w:val="0"/>
          <w:numId w:val="0"/>
        </w:num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rPr>
        <w:t>三亚市育才</w:t>
      </w:r>
      <w:r>
        <w:rPr>
          <w:rFonts w:hint="eastAsia" w:ascii="仿宋_GB2312" w:hAnsi="黑体" w:eastAsia="仿宋_GB2312" w:cs="仿宋_GB2312"/>
          <w:color w:val="auto"/>
          <w:sz w:val="32"/>
          <w:szCs w:val="32"/>
          <w:lang w:eastAsia="zh-CN"/>
        </w:rPr>
        <w:t>中心学校</w:t>
      </w:r>
      <w:r>
        <w:rPr>
          <w:rFonts w:hint="eastAsia" w:ascii="仿宋_GB2312" w:hAnsi="黑体" w:eastAsia="仿宋_GB2312" w:cs="仿宋_GB2312"/>
          <w:color w:val="auto"/>
          <w:sz w:val="32"/>
          <w:szCs w:val="32"/>
        </w:rPr>
        <w:t>2022年政府性基金预算当年拨款0万元，</w:t>
      </w:r>
      <w:r>
        <w:rPr>
          <w:rFonts w:hint="eastAsia" w:ascii="仿宋_GB2312" w:hAnsi="仿宋_GB2312" w:eastAsia="仿宋_GB2312" w:cs="仿宋_GB2312"/>
          <w:color w:val="auto"/>
          <w:kern w:val="0"/>
          <w:sz w:val="32"/>
          <w:szCs w:val="32"/>
          <w:highlight w:val="none"/>
        </w:rPr>
        <w:t>本年没有发生与该表相关的收支决算数据</w:t>
      </w:r>
      <w:r>
        <w:rPr>
          <w:rFonts w:hint="eastAsia" w:ascii="仿宋_GB2312" w:hAnsi="仿宋_GB2312" w:eastAsia="仿宋_GB2312" w:cs="仿宋_GB2312"/>
          <w:color w:val="auto"/>
          <w:kern w:val="0"/>
          <w:sz w:val="32"/>
          <w:szCs w:val="32"/>
          <w:highlight w:val="none"/>
          <w:lang w:eastAsia="zh-CN"/>
        </w:rPr>
        <w:t>。</w:t>
      </w:r>
      <w:r>
        <w:rPr>
          <w:rFonts w:hint="eastAsia" w:ascii="仿宋_GB2312" w:hAnsi="黑体" w:eastAsia="仿宋_GB2312" w:cs="仿宋_GB2312"/>
          <w:color w:val="auto"/>
          <w:sz w:val="32"/>
          <w:szCs w:val="32"/>
        </w:rPr>
        <w:cr/>
      </w:r>
      <w:r>
        <w:rPr>
          <w:rFonts w:hint="eastAsia" w:ascii="仿宋_GB2312" w:hAnsi="黑体" w:eastAsia="仿宋_GB2312" w:cs="仿宋_GB2312"/>
          <w:color w:val="auto"/>
          <w:sz w:val="32"/>
          <w:szCs w:val="32"/>
        </w:rPr>
        <w:t xml:space="preserve">    （二）政府性基金预算当年拨款结构情况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cs="仿宋_GB2312"/>
          <w:color w:val="auto"/>
          <w:sz w:val="32"/>
          <w:szCs w:val="32"/>
        </w:rPr>
        <w:cr/>
      </w:r>
      <w:r>
        <w:rPr>
          <w:rFonts w:hint="eastAsia" w:ascii="仿宋_GB2312" w:hAnsi="黑体" w:eastAsia="仿宋_GB2312" w:cs="仿宋_GB2312"/>
          <w:color w:val="auto"/>
          <w:sz w:val="32"/>
          <w:szCs w:val="32"/>
        </w:rPr>
        <w:t xml:space="preserve">    （三）政府性基金预算当年拨款具体使用情况</w:t>
      </w:r>
      <w:r>
        <w:rPr>
          <w:rFonts w:hint="eastAsia" w:ascii="仿宋_GB2312" w:hAnsi="黑体" w:eastAsia="仿宋_GB2312" w:cs="仿宋_GB2312"/>
          <w:color w:val="auto"/>
          <w:sz w:val="32"/>
          <w:szCs w:val="32"/>
        </w:rPr>
        <w:cr/>
      </w:r>
      <w:r>
        <w:rPr>
          <w:rFonts w:hint="eastAsia" w:ascii="仿宋_GB2312" w:hAnsi="黑体" w:eastAsia="仿宋_GB2312" w:cs="仿宋_GB2312"/>
          <w:color w:val="auto"/>
          <w:sz w:val="32"/>
          <w:szCs w:val="32"/>
        </w:rPr>
        <w:t xml:space="preserve">    </w:t>
      </w: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仿宋_GB2312" w:eastAsia="仿宋_GB2312" w:cs="仿宋_GB2312"/>
          <w:color w:val="auto"/>
          <w:kern w:val="0"/>
          <w:sz w:val="32"/>
          <w:szCs w:val="32"/>
          <w:highlight w:val="none"/>
        </w:rPr>
        <w:t>本年没有发生与该表相关的收支决算数据</w:t>
      </w:r>
      <w:r>
        <w:rPr>
          <w:rFonts w:hint="eastAsia" w:ascii="仿宋_GB2312" w:hAnsi="仿宋_GB2312" w:eastAsia="仿宋_GB2312" w:cs="仿宋_GB2312"/>
          <w:color w:val="auto"/>
          <w:kern w:val="0"/>
          <w:sz w:val="32"/>
          <w:szCs w:val="32"/>
          <w:highlight w:val="none"/>
          <w:lang w:eastAsia="zh-CN"/>
        </w:rPr>
        <w:t>。</w:t>
      </w:r>
    </w:p>
    <w:p>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仿宋_GB2312" w:eastAsia="仿宋_GB2312" w:cs="仿宋_GB2312"/>
          <w:color w:val="auto"/>
          <w:kern w:val="0"/>
          <w:sz w:val="32"/>
          <w:szCs w:val="32"/>
          <w:highlight w:val="none"/>
        </w:rPr>
        <w:t>本年没有发生与该表相关的收支决算数据</w:t>
      </w:r>
      <w:r>
        <w:rPr>
          <w:rFonts w:hint="eastAsia" w:ascii="仿宋_GB2312" w:hAnsi="仿宋_GB2312" w:eastAsia="仿宋_GB2312" w:cs="仿宋_GB2312"/>
          <w:color w:val="auto"/>
          <w:kern w:val="0"/>
          <w:sz w:val="32"/>
          <w:szCs w:val="32"/>
          <w:highlight w:val="none"/>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eastAsia="zh-CN"/>
        </w:rPr>
        <w:t>三亚市育才中心学校</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三亚市育才中心学校</w:t>
      </w:r>
      <w:r>
        <w:rPr>
          <w:rFonts w:hint="eastAsia" w:ascii="仿宋_GB2312" w:hAnsi="黑体" w:eastAsia="仿宋_GB2312" w:cs="仿宋_GB2312"/>
          <w:sz w:val="32"/>
          <w:szCs w:val="32"/>
        </w:rPr>
        <w:t>所有收入和支出均纳入部门预算管理。收入</w:t>
      </w:r>
      <w:r>
        <w:rPr>
          <w:rFonts w:hint="eastAsia" w:ascii="仿宋_GB2312" w:hAnsi="黑体" w:eastAsia="仿宋_GB2312" w:cs="仿宋_GB2312"/>
          <w:sz w:val="32"/>
          <w:szCs w:val="32"/>
          <w:lang w:eastAsia="zh-CN"/>
        </w:rPr>
        <w:t>为</w:t>
      </w:r>
      <w:r>
        <w:rPr>
          <w:rFonts w:hint="eastAsia" w:ascii="仿宋_GB2312" w:hAnsi="黑体" w:eastAsia="仿宋_GB2312" w:cs="仿宋_GB2312"/>
          <w:sz w:val="32"/>
          <w:szCs w:val="32"/>
        </w:rPr>
        <w:t>：一般公共预算收入</w:t>
      </w:r>
      <w:r>
        <w:rPr>
          <w:rFonts w:hint="eastAsia" w:ascii="仿宋_GB2312" w:hAnsi="黑体" w:eastAsia="仿宋_GB2312" w:cs="仿宋_GB2312"/>
          <w:sz w:val="32"/>
          <w:szCs w:val="32"/>
          <w:lang w:eastAsia="zh-CN"/>
        </w:rPr>
        <w:t>；</w:t>
      </w:r>
      <w:r>
        <w:rPr>
          <w:rFonts w:hint="eastAsia" w:ascii="仿宋_GB2312" w:hAnsi="黑体" w:eastAsia="仿宋_GB2312"/>
          <w:sz w:val="32"/>
          <w:szCs w:val="32"/>
        </w:rPr>
        <w:t>支出包括：教育支出</w:t>
      </w:r>
      <w:r>
        <w:rPr>
          <w:rFonts w:hint="eastAsia" w:ascii="仿宋_GB2312" w:hAnsi="黑体" w:eastAsia="仿宋_GB2312"/>
          <w:sz w:val="32"/>
          <w:szCs w:val="32"/>
          <w:lang w:eastAsia="zh-CN"/>
        </w:rPr>
        <w:t>、</w:t>
      </w:r>
      <w:r>
        <w:rPr>
          <w:rFonts w:hint="eastAsia" w:ascii="仿宋_GB2312" w:hAnsi="黑体" w:eastAsia="仿宋_GB2312"/>
          <w:sz w:val="32"/>
          <w:szCs w:val="32"/>
        </w:rPr>
        <w:t>社会保障和就业支出、卫生健康支出</w:t>
      </w:r>
      <w:r>
        <w:rPr>
          <w:rFonts w:hint="eastAsia" w:ascii="仿宋_GB2312" w:hAnsi="黑体" w:eastAsia="仿宋_GB2312"/>
          <w:sz w:val="32"/>
          <w:szCs w:val="32"/>
          <w:lang w:eastAsia="zh-CN"/>
        </w:rPr>
        <w:t>、住房保障支出、对个人和家庭的补助。三亚市育才中心学校</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719.87</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eastAsia="zh-CN"/>
        </w:rPr>
        <w:t>三亚市育才中心学校</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三亚市育才中心学校</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719.87</w:t>
      </w:r>
      <w:r>
        <w:rPr>
          <w:rFonts w:hint="eastAsia" w:ascii="仿宋_GB2312" w:hAnsi="黑体" w:eastAsia="仿宋_GB2312"/>
          <w:sz w:val="32"/>
          <w:szCs w:val="32"/>
        </w:rPr>
        <w:t>万元，经费拨款收入</w:t>
      </w:r>
      <w:r>
        <w:rPr>
          <w:rFonts w:hint="eastAsia" w:ascii="仿宋_GB2312" w:hAnsi="黑体" w:eastAsia="仿宋_GB2312"/>
          <w:sz w:val="32"/>
          <w:szCs w:val="32"/>
          <w:lang w:val="en-US" w:eastAsia="zh-CN"/>
        </w:rPr>
        <w:t>719.87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52.96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在人员薪资增长，基本工资、绩效工资及津贴补贴等逐年增加，预算也随着增加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eastAsia="zh-CN"/>
        </w:rPr>
        <w:t>三亚市育才中心学校</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黑体" w:hAnsi="黑体" w:eastAsia="黑体"/>
          <w:sz w:val="32"/>
          <w:szCs w:val="32"/>
        </w:rPr>
      </w:pPr>
      <w:r>
        <w:rPr>
          <w:rFonts w:hint="eastAsia" w:ascii="仿宋_GB2312" w:hAnsi="黑体" w:eastAsia="仿宋_GB2312"/>
          <w:sz w:val="32"/>
          <w:szCs w:val="32"/>
          <w:lang w:eastAsia="zh-CN"/>
        </w:rPr>
        <w:t>三亚市育才中心学校</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719.87</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639.87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88.89</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80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11.11</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52.96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在人员薪资增长，基本工资、绩效工资及津贴补贴等逐年增加，预算也随着增加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三亚市育才中心学校</w:t>
      </w:r>
      <w:r>
        <w:rPr>
          <w:rFonts w:hint="eastAsia" w:ascii="仿宋_GB2312" w:hAnsi="黑体" w:eastAsia="仿宋_GB2312" w:cs="仿宋_GB2312"/>
          <w:sz w:val="32"/>
          <w:szCs w:val="32"/>
        </w:rPr>
        <w:t>机关运行经费预算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仿宋_GB2312" w:eastAsia="仿宋_GB2312" w:cs="仿宋_GB2312"/>
          <w:color w:val="auto"/>
          <w:kern w:val="0"/>
          <w:sz w:val="32"/>
          <w:szCs w:val="32"/>
          <w:highlight w:val="none"/>
        </w:rPr>
        <w:t>本年没有发生与该表相关的收支决算数据</w:t>
      </w:r>
      <w:r>
        <w:rPr>
          <w:rFonts w:hint="eastAsia" w:ascii="仿宋_GB2312" w:hAnsi="仿宋_GB2312" w:eastAsia="仿宋_GB2312" w:cs="仿宋_GB2312"/>
          <w:color w:val="auto"/>
          <w:kern w:val="0"/>
          <w:sz w:val="32"/>
          <w:szCs w:val="32"/>
          <w:highlight w:val="none"/>
          <w:lang w:eastAsia="zh-CN"/>
        </w:rPr>
        <w:t>。</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三亚市育才中心学校</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仿宋_GB2312" w:eastAsia="仿宋_GB2312" w:cs="仿宋_GB2312"/>
          <w:color w:val="auto"/>
          <w:kern w:val="0"/>
          <w:sz w:val="32"/>
          <w:szCs w:val="32"/>
          <w:highlight w:val="none"/>
        </w:rPr>
        <w:t>本年没有发生与该表相关的收支决算数据</w:t>
      </w:r>
      <w:r>
        <w:rPr>
          <w:rFonts w:hint="eastAsia" w:ascii="仿宋_GB2312" w:hAnsi="仿宋_GB2312" w:eastAsia="仿宋_GB2312" w:cs="仿宋_GB2312"/>
          <w:color w:val="auto"/>
          <w:kern w:val="0"/>
          <w:sz w:val="32"/>
          <w:szCs w:val="32"/>
          <w:highlight w:val="none"/>
          <w:lang w:eastAsia="zh-CN"/>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三亚市育才中心学校</w:t>
      </w:r>
      <w:r>
        <w:rPr>
          <w:rFonts w:hint="eastAsia" w:ascii="仿宋_GB2312" w:hAnsi="黑体" w:eastAsia="仿宋_GB2312" w:cs="仿宋_GB2312"/>
          <w:sz w:val="32"/>
          <w:szCs w:val="32"/>
        </w:rPr>
        <w:t>本级各预算单位共有车辆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960" w:firstLineChars="3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lang w:val="en-US" w:eastAsia="zh-CN"/>
        </w:rPr>
        <w:t>2022年</w:t>
      </w:r>
      <w:r>
        <w:rPr>
          <w:rFonts w:hint="eastAsia" w:ascii="仿宋_GB2312" w:hAnsi="黑体" w:eastAsia="仿宋_GB2312"/>
          <w:sz w:val="32"/>
          <w:szCs w:val="32"/>
          <w:lang w:eastAsia="zh-CN"/>
        </w:rPr>
        <w:t>三亚市育才中心学校有</w:t>
      </w:r>
      <w:r>
        <w:rPr>
          <w:rFonts w:hint="eastAsia" w:ascii="仿宋_GB2312" w:hAnsi="黑体" w:eastAsia="仿宋_GB2312"/>
          <w:sz w:val="32"/>
          <w:szCs w:val="32"/>
          <w:lang w:val="en-US" w:eastAsia="zh-CN"/>
        </w:rPr>
        <w:t>12个项目实施绩效目标管理，涉及资金一般公共预算719.87万元。</w:t>
      </w: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jc w:val="both"/>
        <w:rPr>
          <w:rFonts w:hint="default"/>
          <w:b/>
          <w:bCs/>
          <w:sz w:val="28"/>
          <w:szCs w:val="36"/>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1"/>
    <w:family w:val="auto"/>
    <w:pitch w:val="default"/>
    <w:sig w:usb0="00000000" w:usb1="00000000"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ˎ̥">
    <w:altName w:val="微软雅黑"/>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9ECABD"/>
    <w:multiLevelType w:val="singleLevel"/>
    <w:tmpl w:val="AF9ECABD"/>
    <w:lvl w:ilvl="0" w:tentative="0">
      <w:start w:val="1"/>
      <w:numFmt w:val="chineseCounting"/>
      <w:suff w:val="nothing"/>
      <w:lvlText w:val="（%1）"/>
      <w:lvlJc w:val="left"/>
      <w:rPr>
        <w:rFonts w:hint="eastAsia"/>
      </w:rPr>
    </w:lvl>
  </w:abstractNum>
  <w:abstractNum w:abstractNumId="1">
    <w:nsid w:val="E96C453E"/>
    <w:multiLevelType w:val="singleLevel"/>
    <w:tmpl w:val="E96C453E"/>
    <w:lvl w:ilvl="0" w:tentative="0">
      <w:start w:val="5"/>
      <w:numFmt w:val="chineseCounting"/>
      <w:suff w:val="nothing"/>
      <w:lvlText w:val="%1、"/>
      <w:lvlJc w:val="left"/>
      <w:rPr>
        <w:rFonts w:hint="eastAsia"/>
      </w:rPr>
    </w:lvl>
  </w:abstractNum>
  <w:abstractNum w:abstractNumId="2">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4"/>
  </w:num>
  <w:num w:numId="3">
    <w:abstractNumId w:val="5"/>
  </w:num>
  <w:num w:numId="4">
    <w:abstractNumId w:val="6"/>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jN2VmYjMyZjg1NWNkNGYzZTk1MmQ1NDhjY2Y5MWYifQ=="/>
  </w:docVars>
  <w:rsids>
    <w:rsidRoot w:val="00000000"/>
    <w:rsid w:val="1D7D397C"/>
    <w:rsid w:val="1FC657F4"/>
    <w:rsid w:val="2A497461"/>
    <w:rsid w:val="3F057D64"/>
    <w:rsid w:val="4178697D"/>
    <w:rsid w:val="421562E6"/>
    <w:rsid w:val="47A00E67"/>
    <w:rsid w:val="4ECF2A64"/>
    <w:rsid w:val="514E3FD9"/>
    <w:rsid w:val="5F393F6E"/>
    <w:rsid w:val="784B5D65"/>
    <w:rsid w:val="7DFBE84C"/>
    <w:rsid w:val="7E4E4305"/>
    <w:rsid w:val="DBFF97D5"/>
    <w:rsid w:val="EBFF25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3794</Words>
  <Characters>4193</Characters>
  <Lines>0</Lines>
  <Paragraphs>0</Paragraphs>
  <TotalTime>0</TotalTime>
  <ScaleCrop>false</ScaleCrop>
  <LinksUpToDate>false</LinksUpToDate>
  <CharactersWithSpaces>4218</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2023-01-06T04:50:00Z</dcterms:created>
  <dc:creator>Administrator</dc:creator>
  <cp:lastModifiedBy>user</cp:lastModifiedBy>
  <dcterms:modified xsi:type="dcterms:W3CDTF">2022-02-21T09:16:21Z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3FF4048742804C5ABEB0B718A8B4AFBB_13</vt:lpwstr>
  </property>
</Properties>
</file>