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b w:val="0"/>
          <w:bCs w:val="0"/>
          <w:sz w:val="52"/>
          <w:szCs w:val="52"/>
          <w:lang w:eastAsia="zh-CN"/>
        </w:rPr>
      </w:pPr>
      <w:r>
        <w:rPr>
          <w:rFonts w:hint="eastAsia" w:asciiTheme="majorEastAsia" w:hAnsiTheme="majorEastAsia" w:eastAsiaTheme="majorEastAsia" w:cstheme="majorEastAsia"/>
          <w:b w:val="0"/>
          <w:bCs w:val="0"/>
          <w:sz w:val="52"/>
          <w:szCs w:val="52"/>
          <w:lang w:val="en-US" w:eastAsia="zh-CN"/>
        </w:rPr>
        <w:t>2022</w:t>
      </w:r>
      <w:r>
        <w:rPr>
          <w:rFonts w:hint="eastAsia" w:asciiTheme="majorEastAsia" w:hAnsiTheme="majorEastAsia" w:eastAsiaTheme="majorEastAsia" w:cstheme="majorEastAsia"/>
          <w:b w:val="0"/>
          <w:bCs w:val="0"/>
          <w:sz w:val="52"/>
          <w:szCs w:val="52"/>
        </w:rPr>
        <w:t>年</w:t>
      </w:r>
      <w:r>
        <w:rPr>
          <w:rFonts w:hint="eastAsia" w:asciiTheme="majorEastAsia" w:hAnsiTheme="majorEastAsia" w:eastAsiaTheme="majorEastAsia" w:cstheme="majorEastAsia"/>
          <w:b w:val="0"/>
          <w:bCs w:val="0"/>
          <w:sz w:val="52"/>
          <w:szCs w:val="52"/>
          <w:lang w:eastAsia="zh-CN"/>
        </w:rPr>
        <w:t>中共三亚市委政法委员会</w:t>
      </w:r>
    </w:p>
    <w:p>
      <w:pPr>
        <w:jc w:val="center"/>
        <w:rPr>
          <w:rFonts w:hint="eastAsia" w:asciiTheme="majorEastAsia" w:hAnsiTheme="majorEastAsia" w:eastAsiaTheme="majorEastAsia" w:cstheme="majorEastAsia"/>
          <w:b w:val="0"/>
          <w:bCs w:val="0"/>
          <w:sz w:val="52"/>
          <w:szCs w:val="52"/>
        </w:rPr>
      </w:pPr>
      <w:r>
        <w:rPr>
          <w:rFonts w:hint="eastAsia" w:asciiTheme="majorEastAsia" w:hAnsiTheme="majorEastAsia" w:eastAsiaTheme="majorEastAsia" w:cstheme="majorEastAsia"/>
          <w:b w:val="0"/>
          <w:bCs w:val="0"/>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7"/>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rPr>
        <w:t>概况</w:t>
      </w:r>
    </w:p>
    <w:p>
      <w:pPr>
        <w:pStyle w:val="7"/>
        <w:numPr>
          <w:ilvl w:val="0"/>
          <w:numId w:val="0"/>
        </w:numPr>
        <w:ind w:left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主要职能</w:t>
      </w:r>
    </w:p>
    <w:p>
      <w:pPr>
        <w:pStyle w:val="7"/>
        <w:numPr>
          <w:ilvl w:val="0"/>
          <w:numId w:val="0"/>
        </w:numPr>
        <w:ind w:left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部门预算单位构成</w:t>
      </w:r>
    </w:p>
    <w:p>
      <w:pPr>
        <w:pStyle w:val="7"/>
        <w:numPr>
          <w:ilvl w:val="0"/>
          <w:numId w:val="0"/>
        </w:numPr>
        <w:ind w:leftChars="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三、机构设置</w:t>
      </w:r>
    </w:p>
    <w:p>
      <w:pPr>
        <w:pStyle w:val="7"/>
        <w:numPr>
          <w:ilvl w:val="0"/>
          <w:numId w:val="0"/>
        </w:numPr>
        <w:ind w:leftChars="0"/>
        <w:jc w:val="left"/>
        <w:rPr>
          <w:rFonts w:ascii="黑体" w:hAnsi="黑体" w:eastAsia="黑体"/>
          <w:sz w:val="32"/>
          <w:szCs w:val="32"/>
        </w:rPr>
      </w:pPr>
      <w:r>
        <w:rPr>
          <w:rFonts w:hint="eastAsia" w:ascii="黑体" w:hAnsi="黑体" w:eastAsia="黑体" w:cs="黑体"/>
          <w:b w:val="0"/>
          <w:bCs w:val="0"/>
          <w:sz w:val="32"/>
          <w:szCs w:val="32"/>
          <w:lang w:eastAsia="zh-CN"/>
        </w:rPr>
        <w:t>第二部分</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中共三亚市委政法委</w:t>
      </w:r>
      <w:r>
        <w:rPr>
          <w:rFonts w:hint="eastAsia" w:ascii="黑体" w:hAnsi="黑体" w:eastAsia="黑体" w:cs="黑体"/>
          <w:sz w:val="32"/>
          <w:szCs w:val="32"/>
          <w:lang w:eastAsia="zh-CN"/>
        </w:rPr>
        <w:t>员会</w:t>
      </w:r>
      <w:r>
        <w:rPr>
          <w:rFonts w:hint="eastAsia" w:ascii="黑体" w:hAnsi="黑体" w:eastAsia="黑体" w:cs="黑体"/>
          <w:sz w:val="32"/>
          <w:szCs w:val="32"/>
          <w:lang w:val="en-US" w:eastAsia="zh-CN"/>
        </w:rPr>
        <w:t>2022</w:t>
      </w:r>
      <w:r>
        <w:rPr>
          <w:rFonts w:hint="eastAsia" w:ascii="黑体" w:hAnsi="黑体" w:eastAsia="黑体" w:cs="黑体"/>
          <w:sz w:val="32"/>
          <w:szCs w:val="32"/>
        </w:rPr>
        <w:t>年部门</w:t>
      </w:r>
      <w:r>
        <w:rPr>
          <w:rFonts w:hint="eastAsia" w:ascii="黑体" w:hAnsi="黑体" w:eastAsia="黑体"/>
          <w:sz w:val="32"/>
          <w:szCs w:val="32"/>
        </w:rPr>
        <w:t>预算表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7"/>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部门收支总表</w:t>
      </w:r>
    </w:p>
    <w:p>
      <w:pPr>
        <w:pStyle w:val="7"/>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部门收入总表</w:t>
      </w:r>
    </w:p>
    <w:p>
      <w:pPr>
        <w:pStyle w:val="7"/>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部门支出总表</w:t>
      </w:r>
    </w:p>
    <w:p>
      <w:pPr>
        <w:pStyle w:val="7"/>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7"/>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lang w:val="en-US" w:eastAsia="zh-CN"/>
        </w:rPr>
        <w:t>2022</w:t>
      </w:r>
      <w:r>
        <w:rPr>
          <w:rFonts w:hint="eastAsia" w:ascii="黑体" w:hAnsi="黑体" w:eastAsia="黑体"/>
          <w:sz w:val="32"/>
          <w:szCs w:val="32"/>
        </w:rPr>
        <w:t>年部门预</w:t>
      </w:r>
    </w:p>
    <w:p>
      <w:pPr>
        <w:pStyle w:val="7"/>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算情况说明</w:t>
      </w:r>
    </w:p>
    <w:p>
      <w:pPr>
        <w:pStyle w:val="7"/>
        <w:numPr>
          <w:ilvl w:val="0"/>
          <w:numId w:val="0"/>
        </w:numPr>
        <w:ind w:leftChars="0"/>
        <w:jc w:val="left"/>
        <w:rPr>
          <w:rFonts w:hint="eastAsia" w:ascii="黑体" w:hAnsi="黑体" w:eastAsia="黑体"/>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7"/>
        <w:numPr>
          <w:ilvl w:val="0"/>
          <w:numId w:val="0"/>
        </w:numPr>
        <w:ind w:leftChars="0"/>
        <w:jc w:val="left"/>
        <w:rPr>
          <w:rFonts w:hint="eastAsia"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0"/>
        </w:numPr>
        <w:ind w:leftChars="0"/>
        <w:jc w:val="both"/>
        <w:rPr>
          <w:rFonts w:ascii="仿宋_GB2312" w:hAnsi="仿宋_GB2312" w:eastAsia="仿宋_GB2312" w:cs="仿宋_GB2312"/>
          <w:sz w:val="36"/>
          <w:szCs w:val="36"/>
        </w:rPr>
      </w:pPr>
      <w:r>
        <w:rPr>
          <w:rFonts w:hint="eastAsia" w:ascii="黑体" w:hAnsi="黑体" w:eastAsia="黑体"/>
          <w:sz w:val="32"/>
          <w:szCs w:val="32"/>
          <w:lang w:val="en-US" w:eastAsia="zh-CN"/>
        </w:rPr>
        <w:t xml:space="preserve"> </w:t>
      </w:r>
      <w:r>
        <w:rPr>
          <w:rFonts w:hint="eastAsia" w:ascii="黑体" w:hAnsi="黑体" w:eastAsia="黑体"/>
          <w:sz w:val="36"/>
          <w:szCs w:val="36"/>
          <w:lang w:eastAsia="zh-CN"/>
        </w:rPr>
        <w:t>第一部分</w:t>
      </w:r>
      <w:r>
        <w:rPr>
          <w:rFonts w:hint="eastAsia" w:ascii="黑体" w:hAnsi="黑体" w:eastAsia="黑体"/>
          <w:sz w:val="36"/>
          <w:szCs w:val="36"/>
        </w:rPr>
        <w:t xml:space="preserve">  </w:t>
      </w:r>
      <w:r>
        <w:rPr>
          <w:rFonts w:hint="eastAsia" w:ascii="黑体" w:hAnsi="黑体" w:eastAsia="黑体"/>
          <w:sz w:val="36"/>
          <w:szCs w:val="36"/>
          <w:lang w:eastAsia="zh-CN"/>
        </w:rPr>
        <w:t>中共三亚市委政法委员会</w:t>
      </w:r>
      <w:r>
        <w:rPr>
          <w:rFonts w:hint="eastAsia" w:ascii="黑体" w:hAnsi="黑体" w:eastAsia="黑体"/>
          <w:sz w:val="36"/>
          <w:szCs w:val="36"/>
        </w:rPr>
        <w:t>概况</w:t>
      </w:r>
    </w:p>
    <w:p>
      <w:pPr>
        <w:jc w:val="left"/>
        <w:rPr>
          <w:rFonts w:ascii="仿宋_GB2312" w:hAnsi="仿宋_GB2312" w:eastAsia="仿宋_GB2312" w:cs="仿宋_GB2312"/>
          <w:sz w:val="32"/>
          <w:szCs w:val="32"/>
        </w:rPr>
      </w:pPr>
    </w:p>
    <w:p>
      <w:pPr>
        <w:pStyle w:val="7"/>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7"/>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（一）</w:t>
      </w:r>
      <w:r>
        <w:rPr>
          <w:rFonts w:hint="eastAsia" w:ascii="仿宋_GB2312" w:hAnsi="黑体" w:eastAsia="仿宋_GB2312" w:cs="仿宋_GB2312"/>
          <w:sz w:val="32"/>
          <w:szCs w:val="32"/>
          <w:lang w:eastAsia="zh-CN"/>
        </w:rPr>
        <w:t>贯彻习近平新时代中国特色社会主义思想，坚持党对政法工作的绝对领导，执行党的路线、方针、政策和上级工作部署，统一全市政法各单位思想和行动。</w:t>
      </w:r>
    </w:p>
    <w:p>
      <w:pPr>
        <w:pStyle w:val="7"/>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（二）</w:t>
      </w:r>
      <w:r>
        <w:rPr>
          <w:rFonts w:hint="eastAsia" w:ascii="仿宋_GB2312" w:hAnsi="黑体" w:eastAsia="仿宋_GB2312" w:cs="仿宋_GB2312"/>
          <w:sz w:val="32"/>
          <w:szCs w:val="32"/>
          <w:lang w:eastAsia="zh-CN"/>
        </w:rPr>
        <w:t>拟订全市政法工作的战略规划和政策措施，研究提出三亚推进中国特色自由贸易港政法工作方面的意见和建议，参与有关地方法规的起草、修改工作，提出立法建议。</w:t>
      </w:r>
    </w:p>
    <w:p>
      <w:pPr>
        <w:pStyle w:val="7"/>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负责推进平安三亚、法治三亚建设，坚决维护国家安全、确保社会大局稳定、促进社会公平正义、保障人民安居乐业。</w:t>
      </w:r>
    </w:p>
    <w:p>
      <w:pPr>
        <w:pStyle w:val="7"/>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了解掌握和分析研判政法工作情况动态、社会稳定形势，提出预防、化解影响稳定的社会矛盾和风险，协调应对和妥善处置重大突发事件。</w:t>
      </w:r>
    </w:p>
    <w:p>
      <w:pPr>
        <w:pStyle w:val="7"/>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五）加强对政法工作的督查，统筹协调社会治安综合治理、维护社会稳定、反邪教、反暴恐等有关法律法规和政策的实施工作。负责统筹指导市、区、村（社区、居）社会治安综合治理中心工作，推动形成共建共治共享的基层社会治理格局。</w:t>
      </w:r>
    </w:p>
    <w:p>
      <w:pPr>
        <w:pStyle w:val="7"/>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（六）掌握分析政法舆情动态，指导和协调全市政法单位媒体网络宣传工作，指导政法单位做好涉及政法工作的重大宣传工作。</w:t>
      </w:r>
    </w:p>
    <w:p>
      <w:pPr>
        <w:pStyle w:val="7"/>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（七)支持和监督政法各单位依法行使职权，指导和协调政法各单位密切配合，研究和协调有争议的重大、疑难案件，推进严格执法、公正执法。</w:t>
      </w:r>
    </w:p>
    <w:p>
      <w:pPr>
        <w:pStyle w:val="7"/>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（八）组织研究全市政法改革和社会治理改革中的重大问题，深化政法改革和社会治理改革。</w:t>
      </w:r>
    </w:p>
    <w:p>
      <w:pPr>
        <w:pStyle w:val="7"/>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（九）指导和推动全市政法单位党的建设和政法队伍建设，指导各区委政法委员会工作，代管市法学会工作。</w:t>
      </w:r>
    </w:p>
    <w:p>
      <w:pPr>
        <w:pStyle w:val="7"/>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（十）完成市委和上级部门交办的其他任务。</w:t>
      </w:r>
    </w:p>
    <w:p>
      <w:pPr>
        <w:pStyle w:val="7"/>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中共三亚市委政法委员会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r>
        <w:rPr>
          <w:rFonts w:hint="eastAsia" w:ascii="仿宋_GB2312" w:hAnsi="黑体" w:eastAsia="仿宋_GB2312" w:cs="仿宋_GB2312"/>
          <w:sz w:val="32"/>
          <w:szCs w:val="32"/>
          <w:lang w:eastAsia="zh-CN"/>
        </w:rPr>
        <w:t>三亚市综治中心。</w:t>
      </w:r>
    </w:p>
    <w:p>
      <w:pPr>
        <w:pStyle w:val="7"/>
        <w:numPr>
          <w:ilvl w:val="0"/>
          <w:numId w:val="0"/>
        </w:numPr>
        <w:ind w:leftChars="0"/>
        <w:jc w:val="left"/>
        <w:rPr>
          <w:rFonts w:hint="eastAsia" w:ascii="黑体" w:hAnsi="黑体" w:eastAsia="黑体" w:cs="黑体"/>
          <w:sz w:val="32"/>
          <w:szCs w:val="32"/>
        </w:rPr>
      </w:pPr>
      <w:r>
        <w:rPr>
          <w:rFonts w:hint="eastAsia" w:ascii="黑体" w:hAnsi="黑体" w:eastAsia="黑体" w:cs="黑体"/>
          <w:b/>
          <w:bCs/>
          <w:sz w:val="32"/>
          <w:szCs w:val="32"/>
          <w:lang w:val="en-US" w:eastAsia="zh-CN"/>
        </w:rPr>
        <w:t xml:space="preserve">    三</w:t>
      </w:r>
      <w:r>
        <w:rPr>
          <w:rFonts w:hint="eastAsia" w:ascii="黑体" w:hAnsi="黑体" w:eastAsia="黑体" w:cs="黑体"/>
          <w:sz w:val="32"/>
          <w:szCs w:val="32"/>
          <w:lang w:val="en-US" w:eastAsia="zh-CN"/>
        </w:rPr>
        <w:t>、</w:t>
      </w:r>
      <w:r>
        <w:rPr>
          <w:rFonts w:hint="eastAsia" w:ascii="黑体" w:hAnsi="黑体" w:eastAsia="黑体" w:cs="黑体"/>
          <w:sz w:val="32"/>
          <w:szCs w:val="32"/>
          <w:lang w:eastAsia="zh-CN"/>
        </w:rPr>
        <w:t>机构设置</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市委政法委设9个内设机构，机关行政编制27名，设常务副书记1名，副书记3名，科级领导职数9名（正科级）。</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黑体" w:eastAsia="仿宋_GB2312" w:cs="仿宋_GB2312"/>
          <w:sz w:val="32"/>
          <w:szCs w:val="32"/>
          <w:highlight w:val="yellow"/>
          <w:lang w:val="en-US" w:eastAsia="zh-CN"/>
        </w:rPr>
      </w:pPr>
      <w:r>
        <w:rPr>
          <w:rFonts w:hint="eastAsia" w:ascii="仿宋" w:hAnsi="仿宋" w:eastAsia="仿宋" w:cs="仿宋"/>
          <w:color w:val="auto"/>
          <w:sz w:val="32"/>
          <w:szCs w:val="32"/>
          <w:lang w:val="en-US" w:eastAsia="zh-CN"/>
        </w:rPr>
        <w:t>纳入2022年部门预算编制范围的预算单位为中共三亚市委政法委员会。</w:t>
      </w:r>
    </w:p>
    <w:p>
      <w:pPr>
        <w:ind w:firstLine="800" w:firstLineChars="250"/>
        <w:jc w:val="left"/>
        <w:rPr>
          <w:rFonts w:hint="eastAsia" w:ascii="仿宋_GB2312" w:hAnsi="黑体" w:eastAsia="仿宋_GB2312" w:cs="仿宋_GB2312"/>
          <w:sz w:val="32"/>
          <w:szCs w:val="32"/>
          <w:lang w:eastAsia="zh-CN"/>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val="0"/>
          <w:bCs/>
          <w:sz w:val="32"/>
          <w:szCs w:val="32"/>
        </w:rPr>
      </w:pPr>
      <w:r>
        <w:rPr>
          <w:rFonts w:hint="eastAsia" w:ascii="仿宋_GB2312" w:hAnsi="黑体" w:eastAsia="仿宋_GB2312"/>
          <w:b w:val="0"/>
          <w:bCs/>
          <w:sz w:val="32"/>
          <w:szCs w:val="32"/>
        </w:rPr>
        <w:t>（此部分内容即为部门预算公开表）</w:t>
      </w:r>
    </w:p>
    <w:p>
      <w:pPr>
        <w:jc w:val="both"/>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中共三亚市委政法委员会</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2977.54</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2977.54</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2937.54</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，其他收入</w:t>
      </w:r>
      <w:r>
        <w:rPr>
          <w:rFonts w:hint="eastAsia" w:ascii="仿宋_GB2312" w:hAnsi="黑体" w:eastAsia="仿宋_GB2312"/>
          <w:color w:val="auto"/>
          <w:sz w:val="32"/>
          <w:szCs w:val="32"/>
          <w:lang w:val="en-US" w:eastAsia="zh-CN"/>
        </w:rPr>
        <w:t>40万元</w:t>
      </w:r>
      <w:r>
        <w:rPr>
          <w:rFonts w:hint="eastAsia" w:ascii="仿宋_GB2312" w:hAnsi="黑体" w:eastAsia="仿宋_GB2312"/>
          <w:color w:val="auto"/>
          <w:sz w:val="32"/>
          <w:szCs w:val="32"/>
        </w:rPr>
        <w:t>；支出总计</w:t>
      </w:r>
      <w:r>
        <w:rPr>
          <w:rFonts w:hint="eastAsia" w:ascii="仿宋_GB2312" w:hAnsi="黑体" w:eastAsia="仿宋_GB2312" w:cs="仿宋_GB2312"/>
          <w:color w:val="auto"/>
          <w:sz w:val="32"/>
          <w:szCs w:val="32"/>
          <w:lang w:val="en-US" w:eastAsia="zh-CN"/>
        </w:rPr>
        <w:t>2977.54</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2722.34</w:t>
      </w:r>
      <w:r>
        <w:rPr>
          <w:rFonts w:hint="eastAsia" w:ascii="仿宋_GB2312" w:hAnsi="黑体" w:eastAsia="仿宋_GB2312"/>
          <w:color w:val="auto"/>
          <w:sz w:val="32"/>
          <w:szCs w:val="32"/>
        </w:rPr>
        <w:t>万元、</w:t>
      </w:r>
      <w:bookmarkStart w:id="0" w:name="OLE_LINK2"/>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67.68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99.04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48.48万元</w:t>
      </w:r>
      <w:bookmarkEnd w:id="0"/>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numPr>
          <w:ilvl w:val="0"/>
          <w:numId w:val="2"/>
        </w:numPr>
        <w:ind w:firstLine="640"/>
        <w:jc w:val="left"/>
        <w:rPr>
          <w:rFonts w:hint="eastAsia" w:ascii="黑体" w:hAnsi="黑体" w:eastAsia="黑体"/>
          <w:color w:val="auto"/>
          <w:sz w:val="32"/>
          <w:szCs w:val="32"/>
        </w:rPr>
      </w:pPr>
      <w:r>
        <w:rPr>
          <w:rFonts w:hint="eastAsia" w:ascii="黑体" w:hAnsi="黑体" w:eastAsia="黑体"/>
          <w:color w:val="auto"/>
          <w:sz w:val="32"/>
          <w:szCs w:val="32"/>
        </w:rPr>
        <w:t>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b w:val="0"/>
          <w:bCs w:val="0"/>
          <w:color w:val="auto"/>
          <w:sz w:val="32"/>
          <w:szCs w:val="32"/>
        </w:rPr>
      </w:pPr>
      <w:r>
        <w:rPr>
          <w:rFonts w:hint="eastAsia" w:ascii="楷体" w:hAnsi="楷体" w:eastAsia="楷体"/>
          <w:b w:val="0"/>
          <w:bCs w:val="0"/>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2937.54</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899.88</w:t>
      </w:r>
      <w:r>
        <w:rPr>
          <w:rFonts w:hint="eastAsia" w:ascii="仿宋_GB2312" w:hAnsi="黑体" w:eastAsia="仿宋_GB2312"/>
          <w:color w:val="auto"/>
          <w:sz w:val="32"/>
          <w:szCs w:val="32"/>
        </w:rPr>
        <w:t>万元，</w:t>
      </w:r>
      <w:bookmarkStart w:id="1" w:name="OLE_LINK11"/>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法治环境建设项目经费减少和</w:t>
      </w:r>
      <w:r>
        <w:rPr>
          <w:rFonts w:hint="eastAsia" w:ascii="仿宋_GB2312" w:hAnsi="黑体" w:eastAsia="仿宋_GB2312"/>
          <w:color w:val="auto"/>
          <w:sz w:val="32"/>
          <w:szCs w:val="32"/>
          <w:lang w:val="en-US" w:eastAsia="zh-CN"/>
        </w:rPr>
        <w:t>下属单位三亚市综治中心</w:t>
      </w:r>
      <w:r>
        <w:rPr>
          <w:rFonts w:hint="eastAsia" w:ascii="仿宋_GB2312" w:hAnsi="黑体" w:eastAsia="仿宋_GB2312"/>
          <w:color w:val="auto"/>
          <w:sz w:val="32"/>
          <w:szCs w:val="32"/>
          <w:highlight w:val="none"/>
          <w:lang w:val="en-US" w:eastAsia="zh-CN"/>
        </w:rPr>
        <w:t>基本支出、专项业务经费增加</w:t>
      </w:r>
      <w:r>
        <w:rPr>
          <w:rFonts w:hint="eastAsia" w:ascii="仿宋_GB2312" w:hAnsi="黑体" w:eastAsia="仿宋_GB2312"/>
          <w:color w:val="auto"/>
          <w:sz w:val="32"/>
          <w:szCs w:val="32"/>
          <w:highlight w:val="none"/>
          <w:lang w:eastAsia="zh-CN"/>
        </w:rPr>
        <w:t>。</w:t>
      </w:r>
    </w:p>
    <w:bookmarkEnd w:id="1"/>
    <w:p>
      <w:pPr>
        <w:ind w:firstLine="640"/>
        <w:jc w:val="left"/>
        <w:rPr>
          <w:rFonts w:ascii="楷体" w:hAnsi="楷体" w:eastAsia="楷体"/>
          <w:b w:val="0"/>
          <w:bCs w:val="0"/>
          <w:color w:val="auto"/>
          <w:sz w:val="32"/>
          <w:szCs w:val="32"/>
        </w:rPr>
      </w:pPr>
      <w:r>
        <w:rPr>
          <w:rFonts w:hint="eastAsia" w:ascii="楷体" w:hAnsi="楷体" w:eastAsia="楷体"/>
          <w:b w:val="0"/>
          <w:bCs w:val="0"/>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2722.34</w:t>
      </w:r>
      <w:r>
        <w:rPr>
          <w:rFonts w:hint="eastAsia" w:ascii="仿宋_GB2312" w:hAnsi="黑体" w:eastAsia="仿宋_GB2312"/>
          <w:color w:val="auto"/>
          <w:sz w:val="32"/>
          <w:szCs w:val="32"/>
        </w:rPr>
        <w:t>万元，</w:t>
      </w:r>
      <w:bookmarkStart w:id="2" w:name="OLE_LINK3"/>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92.67</w:t>
      </w:r>
      <w:r>
        <w:rPr>
          <w:rFonts w:hint="eastAsia" w:ascii="仿宋_GB2312" w:hAnsi="黑体" w:eastAsia="仿宋_GB2312"/>
          <w:color w:val="auto"/>
          <w:sz w:val="32"/>
          <w:szCs w:val="32"/>
        </w:rPr>
        <w:t>%；</w:t>
      </w:r>
      <w:bookmarkEnd w:id="2"/>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67.68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2.30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99.04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3.37</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48.40万元，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1.65</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hint="eastAsia" w:ascii="楷体" w:hAnsi="楷体" w:eastAsia="楷体"/>
          <w:b w:val="0"/>
          <w:bCs w:val="0"/>
          <w:color w:val="auto"/>
          <w:sz w:val="32"/>
          <w:szCs w:val="32"/>
        </w:rPr>
      </w:pPr>
      <w:r>
        <w:rPr>
          <w:rFonts w:hint="eastAsia" w:ascii="楷体" w:hAnsi="楷体" w:eastAsia="楷体"/>
          <w:b w:val="0"/>
          <w:bCs w:val="0"/>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（款）行政运行（项）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650.26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40.34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基本支出经费有所增加。</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（款）一般行政管理事务（项）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1770.00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1427.00万元，主要是增加一般行政管理事务开支和单位资金</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3.</w:t>
      </w:r>
      <w:bookmarkStart w:id="3" w:name="OLE_LINK7"/>
      <w:r>
        <w:rPr>
          <w:rFonts w:hint="eastAsia" w:ascii="仿宋_GB2312" w:hAnsi="黑体" w:eastAsia="仿宋_GB2312" w:cs="仿宋_GB2312"/>
          <w:color w:val="auto"/>
          <w:sz w:val="32"/>
          <w:szCs w:val="32"/>
        </w:rPr>
        <w:t>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专项业务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80.00</w:t>
      </w:r>
      <w:r>
        <w:rPr>
          <w:rFonts w:hint="eastAsia" w:ascii="仿宋_GB2312" w:hAnsi="黑体" w:eastAsia="仿宋_GB2312"/>
          <w:color w:val="auto"/>
          <w:sz w:val="32"/>
          <w:szCs w:val="32"/>
        </w:rPr>
        <w:t>万元，</w:t>
      </w:r>
      <w:bookmarkEnd w:id="3"/>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2500.00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涉法涉诉工作开支。</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w:t>
      </w:r>
      <w:bookmarkStart w:id="4" w:name="OLE_LINK8"/>
      <w:r>
        <w:rPr>
          <w:rFonts w:hint="eastAsia" w:ascii="仿宋_GB2312" w:hAnsi="黑体" w:eastAsia="仿宋_GB2312" w:cs="仿宋_GB2312"/>
          <w:color w:val="auto"/>
          <w:sz w:val="32"/>
          <w:szCs w:val="32"/>
        </w:rPr>
        <w:t>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事业运行</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95.08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1.67万元，主要是</w:t>
      </w:r>
      <w:bookmarkStart w:id="5" w:name="OLE_LINK10"/>
      <w:r>
        <w:rPr>
          <w:rFonts w:hint="eastAsia" w:ascii="仿宋_GB2312" w:hAnsi="黑体" w:eastAsia="仿宋_GB2312"/>
          <w:color w:val="auto"/>
          <w:sz w:val="32"/>
          <w:szCs w:val="32"/>
          <w:lang w:val="en-US" w:eastAsia="zh-CN"/>
        </w:rPr>
        <w:t>下属单位三亚市综治中心基本支出人员经费</w:t>
      </w:r>
      <w:bookmarkEnd w:id="5"/>
      <w:r>
        <w:rPr>
          <w:rFonts w:hint="eastAsia" w:ascii="仿宋_GB2312" w:hAnsi="黑体" w:eastAsia="仿宋_GB2312"/>
          <w:color w:val="auto"/>
          <w:sz w:val="32"/>
          <w:szCs w:val="32"/>
          <w:lang w:val="en-US" w:eastAsia="zh-CN"/>
        </w:rPr>
        <w:t>。</w:t>
      </w:r>
      <w:bookmarkEnd w:id="4"/>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rPr>
        <w:t>一般公共服务（类）</w:t>
      </w:r>
      <w:bookmarkStart w:id="6" w:name="OLE_LINK9"/>
      <w:r>
        <w:rPr>
          <w:rFonts w:hint="eastAsia" w:ascii="仿宋_GB2312" w:hAnsi="黑体" w:eastAsia="仿宋_GB2312" w:cs="仿宋_GB2312"/>
          <w:color w:val="auto"/>
          <w:sz w:val="32"/>
          <w:szCs w:val="32"/>
          <w:lang w:eastAsia="zh-CN"/>
        </w:rPr>
        <w:t>党委办公厅（室）及相关机构事务</w:t>
      </w:r>
      <w:bookmarkEnd w:id="6"/>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其他党委办公厅（室）及相关机构事务支出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127.00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72.00万元，主要是下属单位三亚市综治中心专项业务和其他运转经费。</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6.</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57.68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11.21万元，主要是社保基数增加。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7.</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机关事业单位职业年金缴费支出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10.00万元，主要是新增退休人员记实。</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行政单位医疗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26.03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1.34万元，主要是医疗基数增加。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4.62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4.62万元，主要是新增下属单位三亚市综治中心。</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10.</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68.40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7.83万元，主要是新增下属单位三亚市综治中心和基数增加。</w:t>
      </w:r>
    </w:p>
    <w:p>
      <w:pPr>
        <w:ind w:firstLine="64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11.住房保障</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48.48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5.79万元，主要是新增下属单位三亚市综治中心。</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960.54</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896.25</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社会保障缴费</w:t>
      </w:r>
      <w:r>
        <w:rPr>
          <w:rFonts w:hint="eastAsia" w:ascii="仿宋_GB2312" w:hAnsi="黑体" w:eastAsia="仿宋_GB2312"/>
          <w:color w:val="auto"/>
          <w:sz w:val="32"/>
          <w:szCs w:val="32"/>
          <w:lang w:eastAsia="zh-CN"/>
        </w:rPr>
        <w:t>、住房公积金、其他工资福利支出、邮电费、其他交通费和对个人和家庭的补助。</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64.29</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培训费、工会经费、福利费、公务用车运行维护费、生活补助、其他商品和服务支出、其他对个人和家庭的补助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四、</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年“三公”经费预算情况</w:t>
      </w:r>
      <w:r>
        <w:rPr>
          <w:rFonts w:hint="eastAsia" w:ascii="黑体" w:hAnsi="黑体" w:eastAsia="黑体" w:cs="Times New Roman"/>
          <w:color w:val="auto"/>
          <w:sz w:val="32"/>
          <w:szCs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18.07</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zCs w:val="32"/>
          <w:shd w:val="clear" w:color="auto" w:fill="FFFFFF"/>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Times New Roman" w:hAnsi="Times New Roman" w:eastAsia="仿宋_GB2312" w:cs="Times New Roman"/>
          <w:color w:val="auto"/>
          <w:sz w:val="32"/>
          <w:szCs w:val="32"/>
          <w:shd w:val="clear" w:color="auto" w:fill="FFFFFF"/>
        </w:rPr>
        <w:t>。</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zCs w:val="32"/>
          <w:shd w:val="clear" w:color="auto" w:fill="FFFFFF"/>
        </w:rPr>
        <w:t>年，拟安排出国（境）</w:t>
      </w:r>
      <w:r>
        <w:rPr>
          <w:rFonts w:hint="eastAsia" w:ascii="Times New Roman" w:hAnsi="Times New Roman" w:eastAsia="仿宋_GB2312" w:cs="Times New Roman"/>
          <w:color w:val="auto"/>
          <w:sz w:val="32"/>
          <w:szCs w:val="32"/>
          <w:shd w:val="clear" w:color="auto" w:fill="FFFFFF"/>
        </w:rPr>
        <w:t>团（</w:t>
      </w:r>
      <w:r>
        <w:rPr>
          <w:rFonts w:ascii="Times New Roman" w:hAnsi="Times New Roman" w:eastAsia="仿宋_GB2312" w:cs="Times New Roman"/>
          <w:color w:val="auto"/>
          <w:sz w:val="32"/>
          <w:szCs w:val="32"/>
          <w:shd w:val="clear" w:color="auto" w:fill="FFFFFF"/>
        </w:rPr>
        <w:t>组</w:t>
      </w:r>
      <w:r>
        <w:rPr>
          <w:rFonts w:hint="eastAsia" w:ascii="Times New Roman" w:hAnsi="Times New Roman" w:eastAsia="仿宋_GB2312" w:cs="Times New Roman"/>
          <w:color w:val="auto"/>
          <w:sz w:val="32"/>
          <w:szCs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人</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公务用车购置及运行费</w:t>
      </w:r>
      <w:r>
        <w:rPr>
          <w:rFonts w:hint="eastAsia" w:ascii="仿宋_GB2312" w:hAnsi="黑体" w:eastAsia="仿宋_GB2312" w:cs="仿宋_GB2312"/>
          <w:color w:val="auto"/>
          <w:sz w:val="32"/>
          <w:szCs w:val="32"/>
          <w:lang w:val="en-US" w:eastAsia="zh-CN"/>
        </w:rPr>
        <w:t>9.07</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zCs w:val="32"/>
          <w:shd w:val="clear" w:color="auto" w:fill="FFFFFF"/>
        </w:rPr>
        <w:t>公务用车购置</w:t>
      </w:r>
      <w:r>
        <w:rPr>
          <w:rFonts w:hint="eastAsia" w:ascii="Times New Roman" w:hAnsi="Times New Roman" w:eastAsia="仿宋_GB2312" w:cs="Times New Roman"/>
          <w:color w:val="auto"/>
          <w:sz w:val="32"/>
          <w:szCs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zCs w:val="32"/>
          <w:shd w:val="clear" w:color="auto" w:fill="FFFFFF"/>
        </w:rPr>
        <w:t>，公务用车</w:t>
      </w:r>
      <w:r>
        <w:rPr>
          <w:rFonts w:ascii="Times New Roman" w:hAnsi="Times New Roman" w:eastAsia="仿宋_GB2312" w:cs="Times New Roman"/>
          <w:color w:val="auto"/>
          <w:sz w:val="32"/>
          <w:szCs w:val="32"/>
          <w:shd w:val="clear" w:color="auto" w:fill="FFFFFF"/>
        </w:rPr>
        <w:t>运行费</w:t>
      </w:r>
      <w:r>
        <w:rPr>
          <w:rFonts w:hint="eastAsia" w:ascii="仿宋_GB2312" w:hAnsi="黑体" w:eastAsia="仿宋_GB2312" w:cs="仿宋_GB2312"/>
          <w:color w:val="auto"/>
          <w:sz w:val="32"/>
          <w:szCs w:val="32"/>
          <w:lang w:val="en-US" w:eastAsia="zh-CN"/>
        </w:rPr>
        <w:t>9.07</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zCs w:val="32"/>
          <w:shd w:val="clear" w:color="auto" w:fill="FFFFFF"/>
        </w:rPr>
        <w:t>，</w:t>
      </w:r>
      <w:r>
        <w:rPr>
          <w:rFonts w:hint="eastAsia" w:ascii="Times New Roman" w:hAnsi="Times New Roman" w:eastAsia="仿宋_GB2312" w:cs="Times New Roman"/>
          <w:color w:val="auto"/>
          <w:sz w:val="32"/>
          <w:szCs w:val="32"/>
          <w:shd w:val="clear" w:color="auto" w:fill="FFFFFF"/>
          <w:lang w:eastAsia="zh-CN"/>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w:t>
      </w:r>
      <w:r>
        <w:rPr>
          <w:rFonts w:hint="eastAsia" w:ascii="Times New Roman" w:hAnsi="Times New Roman" w:eastAsia="仿宋_GB2312" w:cs="Times New Roman"/>
          <w:color w:val="auto"/>
          <w:sz w:val="32"/>
          <w:szCs w:val="32"/>
          <w:shd w:val="clear" w:color="auto" w:fill="FFFFFF"/>
          <w:lang w:eastAsia="zh-CN"/>
        </w:rPr>
        <w:t>持平</w:t>
      </w:r>
      <w:r>
        <w:rPr>
          <w:rFonts w:ascii="Times New Roman" w:hAnsi="Times New Roman" w:eastAsia="仿宋_GB2312" w:cs="Times New Roman"/>
          <w:color w:val="auto"/>
          <w:sz w:val="32"/>
          <w:szCs w:val="32"/>
          <w:shd w:val="clear" w:color="auto" w:fill="FFFFFF"/>
        </w:rPr>
        <w:t>。</w:t>
      </w:r>
      <w:r>
        <w:rPr>
          <w:rFonts w:hint="eastAsia" w:ascii="Times New Roman" w:hAnsi="Times New Roman" w:eastAsia="仿宋_GB2312" w:cs="Times New Roman"/>
          <w:color w:val="auto"/>
          <w:sz w:val="32"/>
          <w:szCs w:val="32"/>
          <w:shd w:val="clear" w:color="auto" w:fill="FFFFFF"/>
        </w:rPr>
        <w:t>公务车保有量</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zCs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9.00</w:t>
      </w:r>
      <w:r>
        <w:rPr>
          <w:rFonts w:ascii="Times New Roman" w:hAnsi="Times New Roman" w:eastAsia="仿宋_GB2312" w:cs="Times New Roman"/>
          <w:color w:val="auto"/>
          <w:sz w:val="32"/>
          <w:szCs w:val="32"/>
          <w:shd w:val="clear" w:color="auto" w:fill="FFFFFF"/>
        </w:rPr>
        <w:t>万元，</w:t>
      </w:r>
      <w:r>
        <w:rPr>
          <w:rFonts w:hint="eastAsia" w:ascii="Times New Roman" w:hAnsi="Times New Roman" w:eastAsia="仿宋_GB2312" w:cs="Times New Roman"/>
          <w:color w:val="auto"/>
          <w:sz w:val="32"/>
          <w:szCs w:val="32"/>
          <w:shd w:val="clear" w:color="auto" w:fill="FFFFFF"/>
          <w:lang w:eastAsia="zh-CN"/>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w:t>
      </w:r>
      <w:r>
        <w:rPr>
          <w:rFonts w:hint="eastAsia" w:ascii="Times New Roman" w:hAnsi="Times New Roman" w:eastAsia="仿宋_GB2312" w:cs="Times New Roman"/>
          <w:color w:val="auto"/>
          <w:sz w:val="32"/>
          <w:szCs w:val="32"/>
          <w:shd w:val="clear" w:color="auto" w:fill="FFFFFF"/>
          <w:lang w:eastAsia="zh-CN"/>
        </w:rPr>
        <w:t>持平</w:t>
      </w:r>
      <w:r>
        <w:rPr>
          <w:rFonts w:ascii="Times New Roman" w:hAnsi="Times New Roman" w:eastAsia="仿宋_GB2312" w:cs="Times New Roman"/>
          <w:color w:val="auto"/>
          <w:sz w:val="32"/>
          <w:szCs w:val="32"/>
          <w:shd w:val="clear" w:color="auto" w:fill="FFFFFF"/>
        </w:rPr>
        <w:t>。</w:t>
      </w:r>
      <w:r>
        <w:rPr>
          <w:rFonts w:hint="eastAsia" w:ascii="Times New Roman" w:hAnsi="Times New Roman" w:eastAsia="仿宋_GB2312" w:cs="Times New Roman"/>
          <w:color w:val="auto"/>
          <w:sz w:val="32"/>
          <w:szCs w:val="32"/>
          <w:shd w:val="clear" w:color="auto" w:fill="FFFFFF"/>
        </w:rPr>
        <w:t>计划接待</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300</w:t>
      </w:r>
      <w:r>
        <w:rPr>
          <w:rFonts w:hint="eastAsia" w:ascii="仿宋_GB2312" w:hAnsi="黑体" w:eastAsia="仿宋_GB2312" w:cs="仿宋_GB2312"/>
          <w:color w:val="auto"/>
          <w:sz w:val="32"/>
          <w:szCs w:val="32"/>
        </w:rPr>
        <w:t>人</w:t>
      </w:r>
      <w:r>
        <w:rPr>
          <w:rFonts w:hint="eastAsia" w:ascii="仿宋_GB2312" w:hAnsi="黑体" w:eastAsia="仿宋_GB2312" w:cs="仿宋_GB2312"/>
          <w:color w:val="auto"/>
          <w:sz w:val="32"/>
          <w:szCs w:val="32"/>
          <w:lang w:eastAsia="zh-CN"/>
        </w:rPr>
        <w:t>次</w:t>
      </w:r>
      <w:r>
        <w:rPr>
          <w:rFonts w:hint="eastAsia" w:ascii="Times New Roman" w:hAnsi="Times New Roman" w:eastAsia="仿宋_GB2312" w:cs="Times New Roman"/>
          <w:color w:val="auto"/>
          <w:sz w:val="32"/>
          <w:szCs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zCs w:val="32"/>
          <w:shd w:val="clear" w:color="auto" w:fill="FFFFFF"/>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Times New Roman" w:hAnsi="Times New Roman" w:eastAsia="仿宋_GB2312" w:cs="Times New Roman"/>
          <w:color w:val="auto"/>
          <w:sz w:val="32"/>
          <w:szCs w:val="32"/>
          <w:shd w:val="clear" w:color="auto" w:fill="FFFFFF"/>
        </w:rPr>
        <w:t>。</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zCs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ascii="Times New Roman" w:hAnsi="Times New Roman" w:eastAsia="仿宋_GB2312" w:cs="Times New Roman"/>
          <w:color w:val="auto"/>
          <w:sz w:val="32"/>
          <w:szCs w:val="32"/>
          <w:shd w:val="clear" w:color="auto" w:fill="FFFFFF"/>
        </w:rPr>
        <w:t>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仿宋_GB2312" w:hAnsi="黑体" w:eastAsia="仿宋_GB2312"/>
          <w:color w:val="auto"/>
          <w:sz w:val="32"/>
          <w:szCs w:val="32"/>
        </w:rPr>
        <w:t>（其中，</w:t>
      </w:r>
      <w:r>
        <w:rPr>
          <w:rFonts w:ascii="Times New Roman" w:hAnsi="Times New Roman" w:eastAsia="仿宋_GB2312" w:cs="Times New Roman"/>
          <w:color w:val="auto"/>
          <w:sz w:val="32"/>
          <w:szCs w:val="32"/>
          <w:shd w:val="clear" w:color="auto" w:fill="FFFFFF"/>
        </w:rPr>
        <w:t>公务用车购置</w:t>
      </w:r>
      <w:r>
        <w:rPr>
          <w:rFonts w:hint="eastAsia" w:ascii="Times New Roman" w:hAnsi="Times New Roman" w:eastAsia="仿宋_GB2312" w:cs="Times New Roman"/>
          <w:color w:val="auto"/>
          <w:sz w:val="32"/>
          <w:szCs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zCs w:val="32"/>
          <w:shd w:val="clear" w:color="auto" w:fill="FFFFFF"/>
        </w:rPr>
        <w:t>，公务用车</w:t>
      </w:r>
      <w:r>
        <w:rPr>
          <w:rFonts w:ascii="Times New Roman" w:hAnsi="Times New Roman" w:eastAsia="仿宋_GB2312" w:cs="Times New Roman"/>
          <w:color w:val="auto"/>
          <w:sz w:val="32"/>
          <w:szCs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zCs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zCs w:val="32"/>
          <w:shd w:val="clear" w:color="auto" w:fill="FFFFFF"/>
        </w:rPr>
        <w:t>万元，与</w:t>
      </w:r>
      <w:r>
        <w:rPr>
          <w:rFonts w:hint="eastAsia" w:ascii="Times New Roman" w:hAnsi="Times New Roman" w:eastAsia="仿宋_GB2312" w:cs="Times New Roman"/>
          <w:color w:val="auto"/>
          <w:sz w:val="32"/>
          <w:szCs w:val="32"/>
          <w:shd w:val="clear" w:color="auto" w:fill="FFFFFF"/>
        </w:rPr>
        <w:t>上</w:t>
      </w:r>
      <w:r>
        <w:rPr>
          <w:rFonts w:ascii="Times New Roman" w:hAnsi="Times New Roman" w:eastAsia="仿宋_GB2312" w:cs="Times New Roman"/>
          <w:color w:val="auto"/>
          <w:sz w:val="32"/>
          <w:szCs w:val="32"/>
          <w:shd w:val="clear" w:color="auto" w:fill="FFFFFF"/>
        </w:rPr>
        <w:t>年预算持平</w:t>
      </w:r>
      <w:r>
        <w:rPr>
          <w:rFonts w:hint="eastAsia" w:ascii="Times New Roman" w:hAnsi="Times New Roman" w:eastAsia="仿宋_GB2312" w:cs="Times New Roman"/>
          <w:color w:val="auto"/>
          <w:sz w:val="32"/>
          <w:szCs w:val="32"/>
          <w:shd w:val="clear" w:color="auto" w:fill="FFFFFF"/>
          <w:lang w:eastAsia="zh-CN"/>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五、关于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六、关于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（部门）所有收入和支出均纳入部门预算管理。收入包括：一般公共预算收入</w:t>
      </w:r>
      <w:r>
        <w:rPr>
          <w:rFonts w:hint="eastAsia" w:ascii="仿宋_GB2312" w:hAnsi="黑体" w:eastAsia="仿宋_GB2312" w:cs="仿宋_GB2312"/>
          <w:color w:val="auto"/>
          <w:sz w:val="32"/>
          <w:szCs w:val="32"/>
          <w:lang w:eastAsia="zh-CN"/>
        </w:rPr>
        <w:t>、其他收入</w:t>
      </w:r>
      <w:r>
        <w:rPr>
          <w:rFonts w:hint="eastAsia" w:ascii="仿宋_GB2312" w:hAnsi="黑体" w:eastAsia="仿宋_GB2312"/>
          <w:color w:val="auto"/>
          <w:sz w:val="32"/>
          <w:szCs w:val="32"/>
        </w:rPr>
        <w:t>；支出包括：一般公共服务支出。</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2977.54</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七、关于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收入预算情况说明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2977.54</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2937.54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98.66</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1.34</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979.88</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，主要是</w:t>
      </w:r>
      <w:bookmarkStart w:id="7" w:name="OLE_LINK12"/>
      <w:r>
        <w:rPr>
          <w:rFonts w:hint="eastAsia" w:ascii="仿宋_GB2312" w:hAnsi="黑体" w:eastAsia="仿宋_GB2312"/>
          <w:color w:val="auto"/>
          <w:sz w:val="32"/>
          <w:szCs w:val="32"/>
          <w:lang w:eastAsia="zh-CN"/>
        </w:rPr>
        <w:t>法治环境建设项目经费减少和</w:t>
      </w:r>
      <w:r>
        <w:rPr>
          <w:rFonts w:hint="eastAsia" w:ascii="仿宋_GB2312" w:hAnsi="黑体" w:eastAsia="仿宋_GB2312"/>
          <w:color w:val="auto"/>
          <w:sz w:val="32"/>
          <w:szCs w:val="32"/>
          <w:lang w:val="en-US" w:eastAsia="zh-CN"/>
        </w:rPr>
        <w:t>三亚市综治中心基本支出、</w:t>
      </w:r>
      <w:bookmarkStart w:id="8" w:name="_GoBack"/>
      <w:bookmarkEnd w:id="8"/>
      <w:r>
        <w:rPr>
          <w:rFonts w:hint="eastAsia" w:ascii="仿宋_GB2312" w:hAnsi="黑体" w:eastAsia="仿宋_GB2312"/>
          <w:color w:val="auto"/>
          <w:sz w:val="32"/>
          <w:szCs w:val="32"/>
          <w:lang w:val="en-US" w:eastAsia="zh-CN"/>
        </w:rPr>
        <w:t>专项业务经费</w:t>
      </w:r>
      <w:bookmarkEnd w:id="7"/>
      <w:r>
        <w:rPr>
          <w:rFonts w:hint="eastAsia" w:ascii="仿宋_GB2312" w:hAnsi="黑体" w:eastAsia="仿宋_GB2312"/>
          <w:color w:val="auto"/>
          <w:sz w:val="32"/>
          <w:szCs w:val="32"/>
          <w:lang w:val="en-US" w:eastAsia="zh-CN"/>
        </w:rPr>
        <w:t>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八、关于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支出预算情况说明</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中共三亚市委政法委员会</w:t>
      </w:r>
      <w:r>
        <w:rPr>
          <w:rFonts w:hint="eastAsia" w:ascii="仿宋_GB2312" w:hAnsi="黑体" w:eastAsia="仿宋_GB2312"/>
          <w:color w:val="auto"/>
          <w:sz w:val="32"/>
          <w:szCs w:val="32"/>
          <w:highlight w:val="none"/>
        </w:rPr>
        <w:t>（部门）</w:t>
      </w:r>
      <w:r>
        <w:rPr>
          <w:rFonts w:hint="eastAsia" w:ascii="仿宋_GB2312" w:hAnsi="黑体" w:eastAsia="仿宋_GB2312"/>
          <w:color w:val="auto"/>
          <w:sz w:val="32"/>
          <w:szCs w:val="32"/>
          <w:highlight w:val="none"/>
          <w:lang w:val="en-US" w:eastAsia="zh-CN"/>
        </w:rPr>
        <w:t>2022</w:t>
      </w:r>
      <w:r>
        <w:rPr>
          <w:rFonts w:hint="eastAsia" w:ascii="仿宋_GB2312" w:hAnsi="黑体" w:eastAsia="仿宋_GB2312"/>
          <w:color w:val="auto"/>
          <w:sz w:val="32"/>
          <w:szCs w:val="32"/>
          <w:highlight w:val="none"/>
        </w:rPr>
        <w:t>年支出预算</w:t>
      </w:r>
      <w:r>
        <w:rPr>
          <w:rFonts w:hint="eastAsia" w:ascii="仿宋_GB2312" w:hAnsi="黑体" w:eastAsia="仿宋_GB2312"/>
          <w:color w:val="auto"/>
          <w:sz w:val="32"/>
          <w:szCs w:val="32"/>
          <w:highlight w:val="none"/>
          <w:lang w:val="en-US" w:eastAsia="zh-CN"/>
        </w:rPr>
        <w:t>2977.54</w:t>
      </w:r>
      <w:r>
        <w:rPr>
          <w:rFonts w:hint="eastAsia" w:ascii="仿宋_GB2312" w:hAnsi="黑体" w:eastAsia="仿宋_GB2312"/>
          <w:color w:val="auto"/>
          <w:sz w:val="32"/>
          <w:szCs w:val="32"/>
          <w:highlight w:val="none"/>
        </w:rPr>
        <w:t>元</w:t>
      </w:r>
      <w:r>
        <w:rPr>
          <w:rFonts w:hint="eastAsia" w:ascii="仿宋_GB2312" w:hAnsi="黑体" w:eastAsia="仿宋_GB2312"/>
          <w:color w:val="auto"/>
          <w:sz w:val="32"/>
          <w:szCs w:val="32"/>
          <w:highlight w:val="none"/>
        </w:rPr>
        <w:t>，其中：基本支出</w:t>
      </w:r>
      <w:r>
        <w:rPr>
          <w:rFonts w:hint="eastAsia" w:ascii="仿宋_GB2312" w:hAnsi="黑体" w:eastAsia="仿宋_GB2312" w:cs="仿宋_GB2312"/>
          <w:color w:val="auto"/>
          <w:sz w:val="32"/>
          <w:szCs w:val="32"/>
          <w:highlight w:val="none"/>
          <w:lang w:val="en-US" w:eastAsia="zh-CN"/>
        </w:rPr>
        <w:t>960.54</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32.25</w:t>
      </w:r>
      <w:r>
        <w:rPr>
          <w:rFonts w:hint="eastAsia" w:ascii="仿宋_GB2312" w:hAnsi="黑体" w:eastAsia="仿宋_GB2312"/>
          <w:color w:val="auto"/>
          <w:sz w:val="32"/>
          <w:szCs w:val="32"/>
          <w:highlight w:val="none"/>
        </w:rPr>
        <w:t>%；项目支出</w:t>
      </w:r>
      <w:r>
        <w:rPr>
          <w:rFonts w:hint="eastAsia" w:ascii="仿宋_GB2312" w:hAnsi="黑体" w:eastAsia="仿宋_GB2312" w:cs="仿宋_GB2312"/>
          <w:color w:val="auto"/>
          <w:sz w:val="32"/>
          <w:szCs w:val="32"/>
          <w:highlight w:val="none"/>
          <w:lang w:val="en-US" w:eastAsia="zh-CN"/>
        </w:rPr>
        <w:t>2017.00</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67.75</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减少</w:t>
      </w:r>
      <w:r>
        <w:rPr>
          <w:rFonts w:hint="eastAsia" w:ascii="仿宋_GB2312" w:hAnsi="黑体" w:eastAsia="仿宋_GB2312" w:cs="仿宋_GB2312"/>
          <w:color w:val="auto"/>
          <w:sz w:val="32"/>
          <w:szCs w:val="32"/>
          <w:highlight w:val="none"/>
          <w:lang w:val="en-US" w:eastAsia="zh-CN"/>
        </w:rPr>
        <w:t>909.88</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val="en-US" w:eastAsia="zh-CN"/>
        </w:rPr>
        <w:t>2022年部门</w:t>
      </w:r>
      <w:r>
        <w:rPr>
          <w:rFonts w:hint="eastAsia" w:ascii="仿宋_GB2312" w:hAnsi="黑体" w:eastAsia="仿宋_GB2312"/>
          <w:color w:val="auto"/>
          <w:sz w:val="32"/>
          <w:szCs w:val="32"/>
          <w:highlight w:val="none"/>
          <w:lang w:eastAsia="zh-CN"/>
        </w:rPr>
        <w:t>法治环境建设项目支出减少和</w:t>
      </w:r>
      <w:r>
        <w:rPr>
          <w:rFonts w:hint="eastAsia" w:ascii="仿宋_GB2312" w:hAnsi="黑体" w:eastAsia="仿宋_GB2312"/>
          <w:color w:val="auto"/>
          <w:sz w:val="32"/>
          <w:szCs w:val="32"/>
          <w:highlight w:val="none"/>
          <w:lang w:val="en-US" w:eastAsia="zh-CN"/>
        </w:rPr>
        <w:t>三亚市综治中心基本支出、专项业务经费增加等</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（部门）本级</w:t>
      </w:r>
      <w:r>
        <w:rPr>
          <w:rFonts w:hint="eastAsia" w:ascii="仿宋_GB2312" w:hAnsi="黑体" w:eastAsia="仿宋_GB2312" w:cs="仿宋_GB2312"/>
          <w:color w:val="auto"/>
          <w:sz w:val="32"/>
          <w:szCs w:val="32"/>
          <w:lang w:eastAsia="zh-CN"/>
        </w:rPr>
        <w:t>及</w:t>
      </w:r>
      <w:r>
        <w:rPr>
          <w:rFonts w:hint="eastAsia" w:ascii="仿宋_GB2312" w:hAnsi="黑体" w:eastAsia="仿宋_GB2312" w:cs="仿宋_GB2312"/>
          <w:color w:val="auto"/>
          <w:sz w:val="32"/>
          <w:szCs w:val="32"/>
        </w:rPr>
        <w:t>下属单位</w:t>
      </w:r>
      <w:r>
        <w:rPr>
          <w:rFonts w:hint="eastAsia" w:ascii="仿宋_GB2312" w:hAnsi="黑体" w:eastAsia="仿宋_GB2312" w:cs="仿宋_GB2312"/>
          <w:color w:val="auto"/>
          <w:sz w:val="32"/>
          <w:szCs w:val="32"/>
          <w:lang w:eastAsia="zh-CN"/>
        </w:rPr>
        <w:t>（三亚市综治中心</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1865.08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，其中：本级一般行政管理事务</w:t>
      </w:r>
      <w:r>
        <w:rPr>
          <w:rFonts w:hint="eastAsia" w:ascii="仿宋_GB2312" w:hAnsi="黑体" w:eastAsia="仿宋_GB2312"/>
          <w:color w:val="auto"/>
          <w:sz w:val="32"/>
          <w:szCs w:val="32"/>
          <w:lang w:val="en-US" w:eastAsia="zh-CN"/>
        </w:rPr>
        <w:t>1770万元；市综治中心一般事务管理95.08万元</w:t>
      </w:r>
      <w:r>
        <w:rPr>
          <w:rFonts w:hint="eastAsia" w:ascii="仿宋_GB2312" w:hAnsi="黑体" w:eastAsia="仿宋_GB2312"/>
          <w:color w:val="auto"/>
          <w:sz w:val="32"/>
          <w:szCs w:val="32"/>
        </w:rPr>
        <w:t>。</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（部门）本级及下属预算单位政府采购预算总额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（部门）本级及下属各预算单位共有车辆</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24</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2977.54</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2"/>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一、财政拨款收入：指本级财政当年拨付的资金。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ˎ̥">
    <w:altName w:val="微软雅黑"/>
    <w:panose1 w:val="00000000000000000000"/>
    <w:charset w:val="00"/>
    <w:family w:val="swiss"/>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posOffset>4915535</wp:posOffset>
              </wp:positionH>
              <wp:positionV relativeFrom="paragraph">
                <wp:posOffset>0</wp:posOffset>
              </wp:positionV>
              <wp:extent cx="358775" cy="2178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58775" cy="217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7.05pt;margin-top:0pt;height:17.15pt;width:28.25pt;mso-position-horizontal-relative:margin;z-index:251658240;mso-width-relative:page;mso-height-relative:page;" filled="f" stroked="f" coordsize="21600,21600" o:gfxdata="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JC8NzXAAAABwEA&#10;AA8AAAAAAAAAAQAgAAAAIgAAAGRycy9kb3ducmV2LnhtbFBLAQIUABQAAAAIAIdO4kB350ClGwIA&#10;ABMEAAAOAAAAAAAAAAEAIAAAACYBAABkcnMvZTJvRG9jLnhtbFBLBQYAAAAABgAGAFkBAACzBQAA&#10;AAA=&#10;">
              <v:fill on="f" focussize="0,0"/>
              <v:stroke on="f" weight="0.5pt"/>
              <v:imagedata o:title=""/>
              <o:lock v:ext="edit" aspectratio="f"/>
              <v:textbox inset="0mm,0mm,0mm,0mm">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9373F"/>
    <w:multiLevelType w:val="singleLevel"/>
    <w:tmpl w:val="5E39373F"/>
    <w:lvl w:ilvl="0" w:tentative="0">
      <w:start w:val="3"/>
      <w:numFmt w:val="chineseCounting"/>
      <w:suff w:val="nothing"/>
      <w:lvlText w:val="（%1）"/>
      <w:lvlJc w:val="left"/>
    </w:lvl>
  </w:abstractNum>
  <w:abstractNum w:abstractNumId="1">
    <w:nsid w:val="620B13D3"/>
    <w:multiLevelType w:val="singleLevel"/>
    <w:tmpl w:val="620B13D3"/>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1FA8"/>
    <w:rsid w:val="086F1470"/>
    <w:rsid w:val="094A4E54"/>
    <w:rsid w:val="098739B6"/>
    <w:rsid w:val="0E0E2A97"/>
    <w:rsid w:val="0E1C3DF1"/>
    <w:rsid w:val="110A385F"/>
    <w:rsid w:val="127F2FB0"/>
    <w:rsid w:val="144B22C1"/>
    <w:rsid w:val="17D82C08"/>
    <w:rsid w:val="1A767F71"/>
    <w:rsid w:val="1EB5124D"/>
    <w:rsid w:val="1EE359E4"/>
    <w:rsid w:val="214267B3"/>
    <w:rsid w:val="22A73D8A"/>
    <w:rsid w:val="23D2497C"/>
    <w:rsid w:val="2E1D4DE4"/>
    <w:rsid w:val="2FD23935"/>
    <w:rsid w:val="30727AE6"/>
    <w:rsid w:val="31AD3441"/>
    <w:rsid w:val="34724933"/>
    <w:rsid w:val="372E7DAC"/>
    <w:rsid w:val="3E5B1D4C"/>
    <w:rsid w:val="3ECA7FFC"/>
    <w:rsid w:val="3ED17ADF"/>
    <w:rsid w:val="401C1BD1"/>
    <w:rsid w:val="402456F9"/>
    <w:rsid w:val="41755833"/>
    <w:rsid w:val="43B01173"/>
    <w:rsid w:val="43DD0977"/>
    <w:rsid w:val="440E6892"/>
    <w:rsid w:val="452416EA"/>
    <w:rsid w:val="45EF2B13"/>
    <w:rsid w:val="4B262EED"/>
    <w:rsid w:val="4D77D6AE"/>
    <w:rsid w:val="4E54619A"/>
    <w:rsid w:val="51614BBD"/>
    <w:rsid w:val="51E773E5"/>
    <w:rsid w:val="5902074C"/>
    <w:rsid w:val="5A4A5C57"/>
    <w:rsid w:val="5B2D544B"/>
    <w:rsid w:val="5B363E5A"/>
    <w:rsid w:val="5B3F447B"/>
    <w:rsid w:val="5E7D1764"/>
    <w:rsid w:val="5FB6176F"/>
    <w:rsid w:val="6194123E"/>
    <w:rsid w:val="6B8B08EE"/>
    <w:rsid w:val="6BBE6C0A"/>
    <w:rsid w:val="6BC54371"/>
    <w:rsid w:val="6CB52D2B"/>
    <w:rsid w:val="6DB80061"/>
    <w:rsid w:val="6E9B62A9"/>
    <w:rsid w:val="6EEA7802"/>
    <w:rsid w:val="72F01CE8"/>
    <w:rsid w:val="74520F43"/>
    <w:rsid w:val="773D3445"/>
    <w:rsid w:val="78411891"/>
    <w:rsid w:val="7D300371"/>
    <w:rsid w:val="7D364C37"/>
    <w:rsid w:val="7FEF7D18"/>
    <w:rsid w:val="B7EF7C37"/>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2022-02-09T16:04:00Z</cp:lastPrinted>
  <dcterms:modified xsi:type="dcterms:W3CDTF">2023-09-11T00:30:44Z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