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rFonts w:hint="eastAsia"/>
          <w:sz w:val="52"/>
          <w:szCs w:val="52"/>
          <w:lang w:val="en-US" w:eastAsia="zh-CN"/>
        </w:rPr>
        <w:t>2022</w:t>
      </w:r>
      <w:r>
        <w:rPr>
          <w:rFonts w:hint="eastAsia"/>
          <w:sz w:val="52"/>
          <w:szCs w:val="52"/>
        </w:rPr>
        <w:t>年</w:t>
      </w:r>
      <w:r>
        <w:rPr>
          <w:rFonts w:hint="eastAsia"/>
          <w:sz w:val="52"/>
          <w:szCs w:val="52"/>
          <w:lang w:val="en-US" w:eastAsia="zh-CN"/>
        </w:rPr>
        <w:t>三亚市重大活动食品安全保障服务中心</w:t>
      </w:r>
      <w:r>
        <w:rPr>
          <w:rFonts w:hint="eastAsia"/>
          <w:sz w:val="52"/>
          <w:szCs w:val="52"/>
        </w:rPr>
        <w:t>预算</w:t>
      </w: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7"/>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w:t>
      </w:r>
      <w:r>
        <w:rPr>
          <w:rFonts w:hint="eastAsia" w:ascii="黑体" w:hAnsi="黑体" w:eastAsia="黑体"/>
          <w:sz w:val="32"/>
          <w:szCs w:val="32"/>
        </w:rPr>
        <w:t>概况</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7"/>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部门预算单位构成（单位公开没有这部分内容）</w:t>
      </w:r>
    </w:p>
    <w:p>
      <w:pPr>
        <w:pStyle w:val="7"/>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三亚市重大活动食品安全保障服务中心2022年单位</w:t>
      </w:r>
      <w:r>
        <w:rPr>
          <w:rFonts w:hint="eastAsia" w:ascii="黑体" w:hAnsi="黑体" w:eastAsia="黑体"/>
          <w:sz w:val="32"/>
          <w:szCs w:val="32"/>
        </w:rPr>
        <w:t>预算表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7"/>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收支总表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收入总表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lang w:eastAsia="zh-CN"/>
        </w:rPr>
        <w:t>单位</w:t>
      </w:r>
      <w:r>
        <w:rPr>
          <w:rFonts w:hint="eastAsia" w:ascii="仿宋_GB2312" w:hAnsi="仿宋_GB2312" w:eastAsia="仿宋_GB2312" w:cs="仿宋_GB2312"/>
          <w:sz w:val="32"/>
          <w:szCs w:val="32"/>
        </w:rPr>
        <w:t>支出总表</w:t>
      </w:r>
    </w:p>
    <w:p>
      <w:pPr>
        <w:pStyle w:val="7"/>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三亚市重大活动食品安全保障服务中心2022年单位</w:t>
      </w:r>
      <w:r>
        <w:rPr>
          <w:rFonts w:hint="eastAsia" w:ascii="黑体" w:hAnsi="黑体" w:eastAsia="黑体"/>
          <w:sz w:val="32"/>
          <w:szCs w:val="32"/>
        </w:rPr>
        <w:t>预算情况说明</w:t>
      </w:r>
    </w:p>
    <w:p>
      <w:pPr>
        <w:pStyle w:val="7"/>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7"/>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7"/>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三亚市重大活动食品安全保障服务中心</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7"/>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7"/>
        <w:numPr>
          <w:ilvl w:val="-1"/>
          <w:numId w:val="0"/>
        </w:numPr>
        <w:ind w:left="0" w:firstLine="640" w:firstLineChars="2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三亚市重大活动食品安全保障服务中心是三亚市市场监督管理局下属公益一类事业单位。主要工作任务是为冬休警卫接待，重要国事接待，国际及国内文化、旅游、体育和金融等重要会议及赛事的食品安全保障提供服务工作。</w:t>
      </w:r>
    </w:p>
    <w:p>
      <w:pPr>
        <w:ind w:firstLine="640" w:firstLineChars="200"/>
        <w:rPr>
          <w:rFonts w:hint="default" w:ascii="Times New Roman" w:hAnsi="Times New Roman" w:eastAsia="仿宋_GB2312" w:cs="Times New Roman"/>
          <w:kern w:val="2"/>
          <w:sz w:val="32"/>
          <w:szCs w:val="32"/>
          <w:lang w:val="en-US" w:eastAsia="zh-CN" w:bidi="ar-SA"/>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kern w:val="2"/>
          <w:sz w:val="32"/>
          <w:szCs w:val="32"/>
          <w:lang w:val="en-US" w:eastAsia="zh-CN" w:bidi="ar-SA"/>
        </w:rPr>
        <w:t>设</w:t>
      </w:r>
      <w:r>
        <w:rPr>
          <w:rFonts w:hint="eastAsia" w:ascii="Times New Roman" w:hAnsi="Times New Roman" w:eastAsia="仿宋_GB2312" w:cs="Times New Roman"/>
          <w:kern w:val="2"/>
          <w:sz w:val="32"/>
          <w:szCs w:val="32"/>
          <w:lang w:val="en-US" w:eastAsia="zh-CN" w:bidi="ar-SA"/>
        </w:rPr>
        <w:t>2</w:t>
      </w:r>
      <w:r>
        <w:rPr>
          <w:rFonts w:hint="default" w:ascii="Times New Roman" w:hAnsi="Times New Roman" w:eastAsia="仿宋_GB2312" w:cs="Times New Roman"/>
          <w:kern w:val="2"/>
          <w:sz w:val="32"/>
          <w:szCs w:val="32"/>
          <w:lang w:val="en-US" w:eastAsia="zh-CN" w:bidi="ar-SA"/>
        </w:rPr>
        <w:t>个内设机构，内设</w:t>
      </w:r>
      <w:r>
        <w:rPr>
          <w:rFonts w:hint="eastAsia" w:ascii="Times New Roman" w:hAnsi="Times New Roman" w:eastAsia="仿宋_GB2312" w:cs="Times New Roman"/>
          <w:kern w:val="2"/>
          <w:sz w:val="32"/>
          <w:szCs w:val="32"/>
          <w:lang w:val="en-US" w:eastAsia="zh-CN" w:bidi="ar-SA"/>
        </w:rPr>
        <w:t>综合科和重大活动食品安全保障服务科。</w:t>
      </w:r>
    </w:p>
    <w:p>
      <w:pPr>
        <w:ind w:firstLine="627" w:firstLineChars="196"/>
        <w:rPr>
          <w:rFonts w:hint="default" w:ascii="Times New Roman" w:hAnsi="Times New Roman" w:eastAsia="仿宋_GB2312" w:cs="Times New Roman"/>
          <w:kern w:val="2"/>
          <w:sz w:val="32"/>
          <w:szCs w:val="32"/>
          <w:lang w:val="en-US" w:eastAsia="zh-CN" w:bidi="ar-SA"/>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kern w:val="2"/>
          <w:sz w:val="32"/>
          <w:szCs w:val="32"/>
          <w:lang w:val="en-US" w:eastAsia="zh-CN" w:bidi="ar-SA"/>
        </w:rPr>
        <w:t>核定事业编制</w:t>
      </w:r>
      <w:r>
        <w:rPr>
          <w:rFonts w:hint="eastAsia" w:ascii="Times New Roman" w:hAnsi="Times New Roman" w:eastAsia="仿宋_GB2312" w:cs="Times New Roman"/>
          <w:kern w:val="2"/>
          <w:sz w:val="32"/>
          <w:szCs w:val="32"/>
          <w:lang w:val="en-US" w:eastAsia="zh-CN" w:bidi="ar-SA"/>
        </w:rPr>
        <w:t>10</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现实有人数5名，其中在编</w:t>
      </w:r>
      <w:r>
        <w:rPr>
          <w:rFonts w:hint="default" w:ascii="Times New Roman" w:hAnsi="Times New Roman" w:eastAsia="仿宋_GB2312" w:cs="Times New Roman"/>
          <w:kern w:val="2"/>
          <w:sz w:val="32"/>
          <w:szCs w:val="32"/>
          <w:lang w:val="en-US" w:eastAsia="zh-CN" w:bidi="ar-SA"/>
        </w:rPr>
        <w:t>在</w:t>
      </w:r>
      <w:r>
        <w:rPr>
          <w:rFonts w:hint="eastAsia" w:ascii="Times New Roman" w:hAnsi="Times New Roman" w:eastAsia="仿宋_GB2312" w:cs="Times New Roman"/>
          <w:kern w:val="2"/>
          <w:sz w:val="32"/>
          <w:szCs w:val="32"/>
          <w:lang w:val="en-US" w:eastAsia="zh-CN" w:bidi="ar-SA"/>
        </w:rPr>
        <w:t>岗</w:t>
      </w:r>
      <w:r>
        <w:rPr>
          <w:rFonts w:hint="default" w:ascii="Times New Roman" w:hAnsi="Times New Roman" w:eastAsia="仿宋_GB2312" w:cs="Times New Roman"/>
          <w:kern w:val="2"/>
          <w:sz w:val="32"/>
          <w:szCs w:val="32"/>
          <w:lang w:val="en-US" w:eastAsia="zh-CN" w:bidi="ar-SA"/>
        </w:rPr>
        <w:t>人员</w:t>
      </w:r>
      <w:r>
        <w:rPr>
          <w:rFonts w:hint="eastAsia" w:ascii="Times New Roman" w:hAnsi="Times New Roman" w:eastAsia="仿宋_GB2312" w:cs="Times New Roman"/>
          <w:kern w:val="2"/>
          <w:sz w:val="32"/>
          <w:szCs w:val="32"/>
          <w:lang w:val="en-US" w:eastAsia="zh-CN" w:bidi="ar-SA"/>
        </w:rPr>
        <w:t>5</w:t>
      </w:r>
      <w:r>
        <w:rPr>
          <w:rFonts w:hint="default" w:ascii="Times New Roman" w:hAnsi="Times New Roman" w:eastAsia="仿宋_GB2312" w:cs="Times New Roman"/>
          <w:kern w:val="2"/>
          <w:sz w:val="32"/>
          <w:szCs w:val="32"/>
          <w:lang w:val="en-US" w:eastAsia="zh-CN" w:bidi="ar-SA"/>
        </w:rPr>
        <w:t>名</w:t>
      </w:r>
      <w:r>
        <w:rPr>
          <w:rFonts w:hint="eastAsia" w:ascii="Times New Roman" w:hAnsi="Times New Roman" w:eastAsia="仿宋_GB2312" w:cs="Times New Roman"/>
          <w:kern w:val="2"/>
          <w:sz w:val="32"/>
          <w:szCs w:val="32"/>
          <w:lang w:val="en-US" w:eastAsia="zh-CN" w:bidi="ar-SA"/>
        </w:rPr>
        <w:t>。</w:t>
      </w:r>
    </w:p>
    <w:p>
      <w:pPr>
        <w:pStyle w:val="7"/>
        <w:numPr>
          <w:ilvl w:val="-1"/>
          <w:numId w:val="0"/>
        </w:numPr>
        <w:ind w:left="0" w:firstLine="640" w:firstLineChars="200"/>
        <w:jc w:val="left"/>
        <w:rPr>
          <w:rFonts w:hint="eastAsia" w:ascii="仿宋_GB2312" w:hAnsi="黑体" w:eastAsia="仿宋_GB2312" w:cs="仿宋_GB2312"/>
          <w:sz w:val="32"/>
          <w:szCs w:val="32"/>
          <w:lang w:val="en-US" w:eastAsia="zh-CN"/>
        </w:rPr>
      </w:pPr>
    </w:p>
    <w:p>
      <w:pPr>
        <w:ind w:firstLine="640" w:firstLineChars="200"/>
        <w:rPr>
          <w:rFonts w:ascii="黑体" w:hAnsi="黑体" w:eastAsia="黑体"/>
          <w:sz w:val="32"/>
          <w:szCs w:val="32"/>
        </w:rPr>
      </w:pPr>
      <w:r>
        <w:rPr>
          <w:rFonts w:hint="eastAsia" w:ascii="黑体" w:hAnsi="黑体" w:eastAsia="黑体"/>
          <w:sz w:val="32"/>
          <w:szCs w:val="32"/>
        </w:rPr>
        <w:t xml:space="preserve">第二部分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三亚市重大活动食品安全保障服务中心</w:t>
      </w:r>
      <w:r>
        <w:rPr>
          <w:rFonts w:hint="eastAsia" w:ascii="黑体" w:hAnsi="黑体" w:eastAsia="黑体"/>
          <w:sz w:val="32"/>
          <w:szCs w:val="32"/>
        </w:rPr>
        <w:t>预算表</w:t>
      </w:r>
    </w:p>
    <w:p>
      <w:pPr>
        <w:ind w:left="800"/>
        <w:jc w:val="left"/>
        <w:rPr>
          <w:rFonts w:ascii="黑体" w:hAnsi="黑体" w:eastAsia="黑体"/>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 xml:space="preserve">第三部分 </w:t>
      </w:r>
      <w:r>
        <w:rPr>
          <w:rFonts w:hint="eastAsia" w:ascii="仿宋_GB2312" w:hAnsi="黑体" w:eastAsia="仿宋_GB2312" w:cs="仿宋_GB2312"/>
          <w:sz w:val="32"/>
          <w:szCs w:val="32"/>
        </w:rPr>
        <w:t xml:space="preserve"> </w:t>
      </w:r>
      <w:r>
        <w:rPr>
          <w:rFonts w:hint="eastAsia" w:ascii="黑体" w:hAnsi="黑体" w:eastAsia="黑体" w:cs="黑体"/>
          <w:sz w:val="32"/>
          <w:szCs w:val="32"/>
          <w:lang w:val="en-US" w:eastAsia="zh-CN"/>
        </w:rPr>
        <w:t>三亚市重大活动食品安全保障服务中心</w:t>
      </w:r>
      <w:r>
        <w:rPr>
          <w:rFonts w:hint="eastAsia" w:ascii="黑体" w:hAnsi="黑体" w:eastAsia="黑体"/>
          <w:sz w:val="32"/>
          <w:szCs w:val="32"/>
        </w:rPr>
        <w:t>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lang w:val="en-US" w:eastAsia="zh-CN"/>
        </w:rPr>
        <w:t>三亚市重大活动食品安全保障服务中心2022</w:t>
      </w:r>
      <w:r>
        <w:rPr>
          <w:rFonts w:hint="eastAsia" w:ascii="黑体" w:hAnsi="黑体" w:eastAsia="黑体"/>
          <w:sz w:val="32"/>
          <w:szCs w:val="32"/>
        </w:rPr>
        <w:t>年财政拨款收支预算情况的总体说明</w:t>
      </w:r>
    </w:p>
    <w:p>
      <w:pPr>
        <w:ind w:firstLine="640" w:firstLineChars="200"/>
        <w:jc w:val="left"/>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年财政拨款收支总预算</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万元。其中，收入总计</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万元，包括一般公共预算本年收入</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万元，政府性基金预算本年收入</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万元、上年结转</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万元；支出总计</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万元，包括一般公共服务支出</w:t>
      </w:r>
      <w:r>
        <w:rPr>
          <w:rFonts w:hint="eastAsia" w:ascii="Times New Roman" w:hAnsi="Times New Roman" w:eastAsia="仿宋_GB2312" w:cs="Times New Roman"/>
          <w:sz w:val="32"/>
          <w:szCs w:val="32"/>
          <w:lang w:val="en-US" w:eastAsia="zh-CN"/>
        </w:rPr>
        <w:t>117.80</w:t>
      </w:r>
      <w:r>
        <w:rPr>
          <w:rFonts w:hint="default" w:ascii="Times New Roman" w:hAnsi="Times New Roman" w:eastAsia="仿宋_GB2312" w:cs="Times New Roman"/>
          <w:sz w:val="32"/>
          <w:szCs w:val="32"/>
        </w:rPr>
        <w:t>万元、</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6.35万元、卫生健康支出7.51万元、住房保障支出4.97万元，</w:t>
      </w:r>
      <w:r>
        <w:rPr>
          <w:rFonts w:hint="default" w:ascii="Times New Roman" w:hAnsi="Times New Roman" w:eastAsia="仿宋_GB2312" w:cs="Times New Roman"/>
          <w:sz w:val="32"/>
          <w:szCs w:val="32"/>
        </w:rPr>
        <w:t>结转下年</w:t>
      </w:r>
      <w:r>
        <w:rPr>
          <w:rFonts w:hint="eastAsia"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年一般公共预算当年拨款</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w:t>
      </w:r>
      <w:r>
        <w:rPr>
          <w:rFonts w:hint="default" w:ascii="Times New Roman" w:hAnsi="Times New Roman" w:eastAsia="仿宋_GB2312" w:cs="Times New Roman"/>
          <w:color w:val="auto"/>
          <w:sz w:val="32"/>
          <w:szCs w:val="32"/>
        </w:rPr>
        <w:t>比上年预算数</w:t>
      </w:r>
      <w:r>
        <w:rPr>
          <w:rFonts w:hint="eastAsia" w:ascii="Times New Roman" w:hAnsi="Times New Roman" w:eastAsia="仿宋_GB2312" w:cs="Times New Roman"/>
          <w:color w:val="auto"/>
          <w:sz w:val="32"/>
          <w:szCs w:val="32"/>
          <w:lang w:eastAsia="zh-CN"/>
        </w:rPr>
        <w:t>增加</w:t>
      </w:r>
      <w:r>
        <w:rPr>
          <w:rFonts w:hint="eastAsia" w:ascii="Times New Roman" w:hAnsi="Times New Roman" w:eastAsia="仿宋_GB2312" w:cs="Times New Roman"/>
          <w:color w:val="auto"/>
          <w:sz w:val="32"/>
          <w:szCs w:val="32"/>
          <w:lang w:val="en-US" w:eastAsia="zh-CN"/>
        </w:rPr>
        <w:t>100.75</w:t>
      </w:r>
      <w:r>
        <w:rPr>
          <w:rFonts w:hint="default" w:ascii="Times New Roman" w:hAnsi="Times New Roman" w:eastAsia="仿宋_GB2312" w:cs="Times New Roman"/>
          <w:color w:val="auto"/>
          <w:sz w:val="32"/>
          <w:szCs w:val="32"/>
        </w:rPr>
        <w:t>万元，</w:t>
      </w:r>
      <w:r>
        <w:rPr>
          <w:rFonts w:hint="eastAsia" w:ascii="仿宋_GB2312" w:hAnsi="黑体" w:eastAsia="仿宋_GB2312"/>
          <w:sz w:val="32"/>
          <w:szCs w:val="32"/>
        </w:rPr>
        <w:t>主要是</w:t>
      </w:r>
      <w:r>
        <w:rPr>
          <w:rFonts w:hint="eastAsia" w:ascii="仿宋_GB2312" w:hAnsi="黑体" w:eastAsia="仿宋_GB2312"/>
          <w:sz w:val="32"/>
          <w:szCs w:val="32"/>
          <w:lang w:val="en-US" w:eastAsia="zh-CN"/>
        </w:rPr>
        <w:t>2022年增加人员工资福利等</w:t>
      </w:r>
      <w:r>
        <w:rPr>
          <w:rFonts w:hint="eastAsia" w:ascii="仿宋_GB2312" w:hAnsi="黑体" w:eastAsia="仿宋_GB2312"/>
          <w:sz w:val="32"/>
          <w:szCs w:val="32"/>
          <w:lang w:eastAsia="zh-CN"/>
        </w:rPr>
        <w:t>经费</w:t>
      </w:r>
      <w:r>
        <w:rPr>
          <w:rFonts w:hint="eastAsia" w:ascii="Times New Roman" w:hAnsi="Times New Roman" w:eastAsia="仿宋_GB2312" w:cs="Times New Roman"/>
          <w:color w:val="auto"/>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一般公共服务（类）支出</w:t>
      </w:r>
      <w:r>
        <w:rPr>
          <w:rFonts w:hint="eastAsia" w:ascii="Times New Roman" w:hAnsi="Times New Roman" w:eastAsia="仿宋_GB2312" w:cs="Times New Roman"/>
          <w:sz w:val="32"/>
          <w:szCs w:val="32"/>
          <w:lang w:val="en-US" w:eastAsia="zh-CN"/>
        </w:rPr>
        <w:t>117.80</w:t>
      </w:r>
      <w:r>
        <w:rPr>
          <w:rFonts w:hint="default" w:ascii="Times New Roman" w:hAnsi="Times New Roman" w:eastAsia="仿宋_GB2312" w:cs="Times New Roman"/>
          <w:sz w:val="32"/>
          <w:szCs w:val="32"/>
        </w:rPr>
        <w:t>万元，占</w:t>
      </w:r>
      <w:r>
        <w:rPr>
          <w:rFonts w:hint="eastAsia" w:ascii="Times New Roman" w:hAnsi="Times New Roman" w:eastAsia="仿宋_GB2312" w:cs="Times New Roman"/>
          <w:sz w:val="32"/>
          <w:szCs w:val="32"/>
          <w:lang w:val="en-US" w:eastAsia="zh-CN"/>
        </w:rPr>
        <w:t>86.22</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社会保障和就业支出</w:t>
      </w:r>
      <w:r>
        <w:rPr>
          <w:rFonts w:hint="eastAsia" w:ascii="Times New Roman" w:hAnsi="Times New Roman" w:eastAsia="仿宋_GB2312" w:cs="Times New Roman"/>
          <w:sz w:val="32"/>
          <w:szCs w:val="32"/>
          <w:lang w:val="en-US" w:eastAsia="zh-CN"/>
        </w:rPr>
        <w:t>6.35万元，占比4.65%；卫生健康支出7.51万元，占比5.50%；住房保障支出4.97万元，占比3.64%</w:t>
      </w:r>
      <w:r>
        <w:rPr>
          <w:rFonts w:hint="eastAsia" w:ascii="Times New Roman" w:hAnsi="Times New Roman" w:eastAsia="仿宋_GB2312" w:cs="Times New Roman"/>
          <w:sz w:val="32"/>
          <w:szCs w:val="32"/>
          <w:lang w:eastAsia="zh-CN"/>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sz w:val="32"/>
          <w:szCs w:val="32"/>
        </w:rPr>
      </w:pP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一般公共服务（类） 市场监督管理事务（款） 食品安全监管（项）202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50</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val="en-US" w:eastAsia="zh-CN"/>
        </w:rPr>
        <w:t>增加17.12万元</w:t>
      </w:r>
      <w:r>
        <w:rPr>
          <w:rFonts w:hint="eastAsia" w:ascii="仿宋_GB2312" w:hAnsi="黑体" w:eastAsia="仿宋_GB2312"/>
          <w:sz w:val="32"/>
          <w:szCs w:val="32"/>
        </w:rPr>
        <w:t>，</w:t>
      </w:r>
      <w:r>
        <w:rPr>
          <w:rFonts w:hint="eastAsia" w:ascii="仿宋_GB2312" w:hAnsi="黑体" w:eastAsia="仿宋_GB2312"/>
          <w:sz w:val="32"/>
          <w:szCs w:val="32"/>
          <w:lang w:eastAsia="zh-CN"/>
        </w:rPr>
        <w:t>主要原因是</w:t>
      </w:r>
      <w:r>
        <w:rPr>
          <w:rFonts w:hint="eastAsia" w:ascii="仿宋_GB2312" w:hAnsi="黑体" w:eastAsia="仿宋_GB2312"/>
          <w:sz w:val="32"/>
          <w:szCs w:val="32"/>
          <w:lang w:val="en-US" w:eastAsia="zh-CN"/>
        </w:rPr>
        <w:t>误餐费和差旅费用增加</w:t>
      </w:r>
      <w:r>
        <w:rPr>
          <w:rFonts w:hint="eastAsia" w:ascii="仿宋_GB2312" w:hAnsi="黑体" w:eastAsia="仿宋_GB2312"/>
          <w:sz w:val="32"/>
          <w:szCs w:val="32"/>
        </w:rPr>
        <w:t>。</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highlight w:val="none"/>
          <w:lang w:val="en-US" w:eastAsia="zh-CN"/>
        </w:rPr>
        <w:t>2.社会保障和就业支出（类）行政事业单位养老支出（款）机关事业单位基本养老保险缴费支出（项） 2022年预算数为6.35万元。</w:t>
      </w:r>
    </w:p>
    <w:p>
      <w:pPr>
        <w:ind w:firstLine="640" w:firstLineChars="200"/>
        <w:rPr>
          <w:rFonts w:hint="default" w:ascii="仿宋_GB2312" w:hAnsi="黑体" w:eastAsia="仿宋_GB2312"/>
          <w:sz w:val="32"/>
          <w:szCs w:val="32"/>
          <w:lang w:val="en-US" w:eastAsia="zh-CN"/>
        </w:rPr>
      </w:pPr>
      <w:r>
        <w:rPr>
          <w:rFonts w:hint="eastAsia" w:ascii="仿宋_GB2312" w:hAnsi="黑体" w:eastAsia="仿宋_GB2312"/>
          <w:sz w:val="32"/>
          <w:szCs w:val="32"/>
          <w:lang w:val="en-US" w:eastAsia="zh-CN"/>
        </w:rPr>
        <w:t>3</w:t>
      </w:r>
      <w:r>
        <w:rPr>
          <w:rFonts w:hint="eastAsia" w:ascii="仿宋_GB2312" w:hAnsi="黑体" w:eastAsia="仿宋_GB2312"/>
          <w:sz w:val="32"/>
          <w:szCs w:val="32"/>
          <w:highlight w:val="none"/>
          <w:lang w:val="en-US" w:eastAsia="zh-CN"/>
        </w:rPr>
        <w:t>.卫生健康支出（类）行政事业单位医疗（款）事业单位医疗（项） 2022年预算数为3.38万元，公务员医疗补助（项） 2022年预算数为4.14万元。</w:t>
      </w:r>
    </w:p>
    <w:p>
      <w:pPr>
        <w:ind w:firstLine="640" w:firstLineChars="200"/>
      </w:pPr>
      <w:r>
        <w:rPr>
          <w:rFonts w:hint="eastAsia" w:ascii="仿宋_GB2312" w:hAnsi="黑体" w:eastAsia="仿宋_GB2312"/>
          <w:sz w:val="32"/>
          <w:szCs w:val="32"/>
          <w:lang w:val="en-US" w:eastAsia="zh-CN"/>
        </w:rPr>
        <w:t>4</w:t>
      </w:r>
      <w:r>
        <w:rPr>
          <w:rFonts w:hint="eastAsia" w:ascii="仿宋_GB2312" w:hAnsi="黑体" w:eastAsia="仿宋_GB2312"/>
          <w:sz w:val="32"/>
          <w:szCs w:val="32"/>
          <w:highlight w:val="none"/>
          <w:lang w:val="en-US" w:eastAsia="zh-CN"/>
        </w:rPr>
        <w:t>.住房保障支出（类）住房改革支出（款）住房公积金（项） 2022年预算数为4.97万元</w:t>
      </w:r>
      <w:r>
        <w:rPr>
          <w:rFonts w:hint="eastAsia"/>
          <w:lang w:eastAsia="zh-CN"/>
        </w:rPr>
        <w:t>。</w:t>
      </w:r>
    </w:p>
    <w:p>
      <w:pPr>
        <w:ind w:firstLine="420" w:firstLineChars="200"/>
        <w:rPr>
          <w:rFonts w:hint="eastAsia"/>
        </w:rPr>
      </w:pP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hint="eastAsia" w:ascii="黑体" w:hAnsi="黑体" w:eastAsia="黑体"/>
          <w:sz w:val="32"/>
          <w:szCs w:val="32"/>
        </w:rPr>
        <w:t>年一般公共预算基本支出情况说明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年一般公共预算基本支出为</w:t>
      </w:r>
      <w:r>
        <w:rPr>
          <w:rFonts w:hint="eastAsia" w:ascii="Times New Roman" w:hAnsi="Times New Roman" w:eastAsia="仿宋_GB2312" w:cs="Times New Roman"/>
          <w:sz w:val="32"/>
          <w:szCs w:val="32"/>
          <w:lang w:val="en-US" w:eastAsia="zh-CN"/>
        </w:rPr>
        <w:t>136.63</w:t>
      </w:r>
      <w:r>
        <w:rPr>
          <w:rFonts w:hint="default" w:ascii="Times New Roman" w:hAnsi="Times New Roman" w:eastAsia="仿宋_GB2312" w:cs="Times New Roman"/>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cs="仿宋_GB2312"/>
          <w:sz w:val="32"/>
          <w:szCs w:val="32"/>
          <w:lang w:val="en-US" w:eastAsia="zh-CN"/>
        </w:rPr>
        <w:t>80.31</w:t>
      </w:r>
      <w:r>
        <w:rPr>
          <w:rFonts w:hint="eastAsia" w:ascii="仿宋_GB2312" w:hAnsi="黑体" w:eastAsia="仿宋_GB2312"/>
          <w:sz w:val="32"/>
          <w:szCs w:val="32"/>
        </w:rPr>
        <w:t>万元，主要包括：基本工资、津贴补贴、绩效工资、机关事业单位基本养老保险缴费、城镇职工基本医疗保险缴费、公务员医疗补助缴费、其他社会保障缴费、住房公积金、</w:t>
      </w:r>
      <w:r>
        <w:rPr>
          <w:rFonts w:hint="eastAsia" w:ascii="仿宋_GB2312" w:hAnsi="黑体" w:eastAsia="仿宋_GB2312"/>
          <w:sz w:val="32"/>
          <w:szCs w:val="32"/>
          <w:lang w:eastAsia="zh-CN"/>
        </w:rPr>
        <w:t>其他工资福利支出</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cs="仿宋_GB2312"/>
          <w:sz w:val="32"/>
          <w:szCs w:val="32"/>
          <w:lang w:val="en-US" w:eastAsia="zh-CN"/>
        </w:rPr>
        <w:t>6.32</w:t>
      </w:r>
      <w:r>
        <w:rPr>
          <w:rFonts w:hint="eastAsia" w:ascii="仿宋_GB2312" w:hAnsi="黑体" w:eastAsia="仿宋_GB2312"/>
          <w:sz w:val="32"/>
          <w:szCs w:val="32"/>
        </w:rPr>
        <w:t>万元，主要包括：办公费、 工会经费、福利费、公务用车运行维护费、 其他商品和服务支出。</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Times New Roman"/>
          <w:sz w:val="32"/>
          <w:shd w:val="clear" w:color="auto" w:fill="FFFFFF"/>
          <w:lang w:eastAsia="zh-CN"/>
        </w:rPr>
        <w:t>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hint="default" w:ascii="Times New Roman" w:hAnsi="Times New Roman" w:eastAsia="仿宋_GB2312" w:cs="Times New Roman"/>
          <w:sz w:val="32"/>
          <w:szCs w:val="32"/>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sz w:val="32"/>
          <w:szCs w:val="32"/>
          <w:lang w:val="en-US" w:eastAsia="zh-CN"/>
        </w:rPr>
        <w:t>202</w:t>
      </w:r>
      <w:r>
        <w:rPr>
          <w:rFonts w:hint="eastAsia" w:ascii="Times New Roman" w:hAnsi="Times New Roman" w:eastAsia="仿宋_GB2312" w:cs="Times New Roman"/>
          <w:sz w:val="32"/>
          <w:szCs w:val="32"/>
          <w:lang w:val="en-US" w:eastAsia="zh-CN"/>
        </w:rPr>
        <w:t>2</w:t>
      </w:r>
      <w:r>
        <w:rPr>
          <w:rFonts w:hint="default" w:ascii="Times New Roman" w:hAnsi="Times New Roman" w:eastAsia="仿宋_GB2312" w:cs="Times New Roman"/>
          <w:sz w:val="32"/>
          <w:szCs w:val="32"/>
        </w:rPr>
        <w:t>年一般公共预算“三公”经费预算数为</w:t>
      </w:r>
      <w:r>
        <w:rPr>
          <w:rFonts w:hint="eastAsia"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万元，其中：</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1万</w:t>
      </w:r>
      <w:r>
        <w:rPr>
          <w:rFonts w:hint="eastAsia" w:ascii="仿宋_GB2312" w:hAnsi="黑体" w:eastAsia="仿宋_GB2312"/>
          <w:sz w:val="32"/>
          <w:szCs w:val="32"/>
        </w:rPr>
        <w:t>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cs="仿宋_GB2312"/>
          <w:sz w:val="32"/>
          <w:szCs w:val="32"/>
          <w:lang w:val="en-US" w:eastAsia="zh-CN"/>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lang w:val="en-US" w:eastAsia="zh-CN"/>
        </w:rPr>
        <w:t>2022年无接待计划安排</w:t>
      </w:r>
      <w:r>
        <w:rPr>
          <w:rFonts w:ascii="Times New Roman" w:hAnsi="Times New Roman" w:eastAsia="仿宋_GB2312" w:cs="Times New Roman"/>
          <w:sz w:val="32"/>
          <w:shd w:val="clear" w:color="auto" w:fill="FFFFFF"/>
        </w:rPr>
        <w:t>。</w:t>
      </w:r>
    </w:p>
    <w:p>
      <w:pPr>
        <w:ind w:firstLine="640" w:firstLineChars="200"/>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rPr>
        <w:t>（二）</w:t>
      </w: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年政府性基金预算“三公”经费预算数为</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万元，其中：</w:t>
      </w:r>
    </w:p>
    <w:p>
      <w:pPr>
        <w:rPr>
          <w:rFonts w:ascii="Times New Roman" w:hAnsi="Times New Roman" w:eastAsia="仿宋_GB2312" w:cs="Times New Roman"/>
          <w:sz w:val="32"/>
          <w:shd w:val="clear" w:color="auto" w:fill="FFFFFF"/>
        </w:rPr>
      </w:pPr>
      <w:r>
        <w:rPr>
          <w:rFonts w:hint="default" w:ascii="Times New Roman" w:hAnsi="Times New Roman" w:eastAsia="仿宋_GB2312" w:cs="Times New Roman"/>
          <w:color w:val="FF0000"/>
          <w:sz w:val="32"/>
          <w:shd w:val="clear" w:color="auto" w:fill="FFFFFF"/>
        </w:rPr>
        <w:t xml:space="preserve">    </w:t>
      </w: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hint="eastAsia" w:ascii="Times New Roman" w:hAnsi="Times New Roman" w:eastAsia="仿宋_GB2312" w:cs="Times New Roman"/>
          <w:sz w:val="32"/>
          <w:shd w:val="clear" w:color="auto" w:fill="FFFFFF"/>
          <w:lang w:val="en-US" w:eastAsia="zh-CN"/>
        </w:rPr>
        <w:t>2022年无出国计划安排</w:t>
      </w:r>
      <w:r>
        <w:rPr>
          <w:rFonts w:hint="eastAsia" w:ascii="Times New Roman" w:hAnsi="Times New Roman" w:eastAsia="仿宋_GB2312" w:cs="Times New Roman"/>
          <w:sz w:val="32"/>
          <w:shd w:val="clear" w:color="auto" w:fill="FFFFFF"/>
          <w:lang w:eastAsia="zh-CN"/>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。计划接待</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批</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人</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w:t>
      </w:r>
      <w:r>
        <w:rPr>
          <w:rFonts w:hint="eastAsia" w:ascii="黑体" w:hAnsi="黑体" w:eastAsia="黑体" w:cs="Times New Roman"/>
          <w:sz w:val="32"/>
          <w:shd w:val="clear" w:color="auto" w:fill="FFFFFF"/>
          <w:lang w:eastAsia="zh-CN"/>
        </w:rPr>
        <w:t>关于</w:t>
      </w:r>
      <w:r>
        <w:rPr>
          <w:rFonts w:hint="eastAsia" w:ascii="黑体" w:hAnsi="黑体" w:eastAsia="黑体" w:cs="黑体"/>
          <w:sz w:val="32"/>
          <w:szCs w:val="32"/>
          <w:lang w:val="en-US" w:eastAsia="zh-CN"/>
        </w:rPr>
        <w:t>三亚市重大活动食品安全保障服务中心</w:t>
      </w:r>
      <w:r>
        <w:rPr>
          <w:rFonts w:hint="eastAsia" w:ascii="黑体" w:hAnsi="黑体" w:eastAsia="黑体" w:cs="Times New Roman"/>
          <w:sz w:val="32"/>
          <w:shd w:val="clear" w:color="auto" w:fill="FFFFFF"/>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lang w:val="en-US" w:eastAsia="zh-CN"/>
        </w:rPr>
        <w:t>三亚市重大活动食品安全保障服务中心</w:t>
      </w:r>
      <w:r>
        <w:rPr>
          <w:rFonts w:hint="eastAsia" w:ascii="仿宋_GB2312" w:hAnsi="黑体" w:eastAsia="仿宋_GB2312" w:cs="仿宋_GB2312"/>
          <w:sz w:val="32"/>
          <w:szCs w:val="32"/>
        </w:rPr>
        <w:t>202</w:t>
      </w:r>
      <w:r>
        <w:rPr>
          <w:rFonts w:hint="eastAsia" w:ascii="仿宋_GB2312" w:hAnsi="黑体" w:eastAsia="仿宋_GB2312" w:cs="仿宋_GB2312"/>
          <w:sz w:val="32"/>
          <w:szCs w:val="32"/>
          <w:lang w:val="en-US" w:eastAsia="zh-CN"/>
        </w:rPr>
        <w:t>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科学技术支出（类）支出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1. 科学技术支出（类）核电站乏燃料处理处置基金支出（款）乏燃料运输（项）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科学技术支出（类）核电站乏燃料处理处置基金支出（款）乏燃料离堆贮存（项）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与</w:t>
      </w:r>
      <w:r>
        <w:rPr>
          <w:rFonts w:hint="eastAsia" w:ascii="仿宋_GB2312" w:hAnsi="黑体" w:eastAsia="仿宋_GB2312"/>
          <w:sz w:val="32"/>
          <w:szCs w:val="32"/>
        </w:rPr>
        <w:t>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hint="eastAsia" w:ascii="Times New Roman" w:hAnsi="Times New Roman" w:eastAsia="仿宋_GB2312" w:cs="Times New Roman"/>
          <w:color w:val="auto"/>
          <w:sz w:val="32"/>
          <w:szCs w:val="32"/>
          <w:lang w:eastAsia="zh-CN"/>
        </w:rPr>
      </w:pPr>
      <w:r>
        <w:rPr>
          <w:rFonts w:hint="default" w:ascii="Times New Roman" w:hAnsi="Times New Roman" w:eastAsia="仿宋_GB2312" w:cs="Times New Roman"/>
          <w:color w:val="auto"/>
          <w:sz w:val="32"/>
          <w:szCs w:val="32"/>
        </w:rPr>
        <w:t>按照综合预算原则，</w:t>
      </w: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rPr>
        <w:t>所有收入和支出均纳入部门预算管理。收入包括：</w:t>
      </w:r>
      <w:r>
        <w:rPr>
          <w:rFonts w:hint="default" w:ascii="Times New Roman" w:hAnsi="Times New Roman" w:eastAsia="仿宋_GB2312" w:cs="Times New Roman"/>
          <w:color w:val="auto"/>
          <w:sz w:val="32"/>
          <w:shd w:val="clear" w:color="auto" w:fill="FFFFFF"/>
        </w:rPr>
        <w:t>一般公共预算</w:t>
      </w:r>
      <w:r>
        <w:rPr>
          <w:rFonts w:hint="eastAsia" w:ascii="Times New Roman" w:hAnsi="Times New Roman" w:eastAsia="仿宋_GB2312" w:cs="Times New Roman"/>
          <w:color w:val="auto"/>
          <w:sz w:val="32"/>
          <w:shd w:val="clear" w:color="auto" w:fill="FFFFFF"/>
          <w:lang w:eastAsia="zh-CN"/>
        </w:rPr>
        <w:t>拨款</w:t>
      </w:r>
      <w:r>
        <w:rPr>
          <w:rFonts w:hint="default" w:ascii="Times New Roman" w:hAnsi="Times New Roman" w:eastAsia="仿宋_GB2312" w:cs="Times New Roman"/>
          <w:color w:val="auto"/>
          <w:sz w:val="32"/>
          <w:shd w:val="clear" w:color="auto" w:fill="FFFFFF"/>
        </w:rPr>
        <w:t>收入；</w:t>
      </w:r>
      <w:r>
        <w:rPr>
          <w:rFonts w:hint="default" w:ascii="Times New Roman" w:hAnsi="Times New Roman" w:eastAsia="仿宋_GB2312" w:cs="Times New Roman"/>
          <w:color w:val="auto"/>
          <w:sz w:val="32"/>
          <w:szCs w:val="32"/>
        </w:rPr>
        <w:t>支出包括：一般公共服务支出、</w:t>
      </w:r>
      <w:r>
        <w:rPr>
          <w:rFonts w:hint="eastAsia" w:ascii="Times New Roman" w:hAnsi="Times New Roman" w:eastAsia="仿宋_GB2312" w:cs="Times New Roman"/>
          <w:color w:val="auto"/>
          <w:sz w:val="32"/>
          <w:szCs w:val="32"/>
          <w:lang w:eastAsia="zh-CN"/>
        </w:rPr>
        <w:t>社会保障和就业支出、卫生健康支出、住房保障支出</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lang w:val="en-US" w:eastAsia="zh-CN"/>
        </w:rPr>
        <w:t>三亚市重大活动食品安全保障服务中心2022</w:t>
      </w:r>
      <w:r>
        <w:rPr>
          <w:rFonts w:hint="default" w:ascii="Times New Roman" w:hAnsi="Times New Roman" w:eastAsia="仿宋_GB2312" w:cs="Times New Roman"/>
          <w:color w:val="auto"/>
          <w:sz w:val="32"/>
          <w:szCs w:val="32"/>
        </w:rPr>
        <w:t>年收支总预算</w:t>
      </w:r>
      <w:r>
        <w:rPr>
          <w:rFonts w:hint="eastAsia" w:ascii="Times New Roman" w:hAnsi="Times New Roman" w:eastAsia="仿宋_GB2312" w:cs="Times New Roman"/>
          <w:color w:val="auto"/>
          <w:sz w:val="32"/>
          <w:shd w:val="clear" w:color="auto" w:fill="FFFFFF"/>
          <w:lang w:val="en-US" w:eastAsia="zh-CN"/>
        </w:rPr>
        <w:t>136.63</w:t>
      </w:r>
      <w:r>
        <w:rPr>
          <w:rFonts w:hint="default" w:ascii="Times New Roman" w:hAnsi="Times New Roman" w:eastAsia="仿宋_GB2312" w:cs="Times New Roman"/>
          <w:color w:val="auto"/>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color w:val="auto"/>
          <w:sz w:val="32"/>
          <w:szCs w:val="32"/>
        </w:rPr>
        <w:t>年收入预算</w:t>
      </w:r>
      <w:r>
        <w:rPr>
          <w:rFonts w:hint="eastAsia" w:ascii="Times New Roman" w:hAnsi="Times New Roman" w:eastAsia="仿宋_GB2312" w:cs="Times New Roman"/>
          <w:color w:val="auto"/>
          <w:sz w:val="32"/>
          <w:szCs w:val="32"/>
          <w:lang w:val="en-US" w:eastAsia="zh-CN"/>
        </w:rPr>
        <w:t>136.63</w:t>
      </w:r>
      <w:r>
        <w:rPr>
          <w:rFonts w:hint="default" w:ascii="Times New Roman" w:hAnsi="Times New Roman" w:eastAsia="仿宋_GB2312" w:cs="Times New Roman"/>
          <w:color w:val="auto"/>
          <w:sz w:val="32"/>
          <w:szCs w:val="32"/>
        </w:rPr>
        <w:t>万元，其中：上年结转</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eastAsia" w:ascii="仿宋_GB2312" w:hAnsi="黑体" w:eastAsia="仿宋_GB2312"/>
          <w:color w:val="auto"/>
          <w:sz w:val="32"/>
          <w:szCs w:val="32"/>
          <w:lang w:eastAsia="zh-CN"/>
        </w:rPr>
        <w:t>一般公共预算</w:t>
      </w:r>
      <w:r>
        <w:rPr>
          <w:rFonts w:hint="default" w:ascii="Times New Roman" w:hAnsi="Times New Roman" w:eastAsia="仿宋_GB2312" w:cs="Times New Roman"/>
          <w:color w:val="auto"/>
          <w:sz w:val="32"/>
          <w:szCs w:val="32"/>
        </w:rPr>
        <w:t>拨款收入</w:t>
      </w:r>
      <w:r>
        <w:rPr>
          <w:rFonts w:hint="eastAsia" w:ascii="Times New Roman" w:hAnsi="Times New Roman" w:eastAsia="仿宋_GB2312" w:cs="Times New Roman"/>
          <w:color w:val="auto"/>
          <w:sz w:val="32"/>
          <w:szCs w:val="32"/>
          <w:lang w:val="en-US" w:eastAsia="zh-CN"/>
        </w:rPr>
        <w:t>136.63</w:t>
      </w:r>
      <w:r>
        <w:rPr>
          <w:rFonts w:hint="default" w:ascii="Times New Roman" w:hAnsi="Times New Roman" w:eastAsia="仿宋_GB2312" w:cs="Times New Roman"/>
          <w:color w:val="auto"/>
          <w:sz w:val="32"/>
          <w:szCs w:val="32"/>
        </w:rPr>
        <w:t>元，占</w:t>
      </w:r>
      <w:r>
        <w:rPr>
          <w:rFonts w:hint="eastAsia" w:ascii="Times New Roman" w:hAnsi="Times New Roman" w:eastAsia="仿宋_GB2312" w:cs="Times New Roman"/>
          <w:color w:val="auto"/>
          <w:sz w:val="32"/>
          <w:szCs w:val="32"/>
          <w:lang w:val="en-US" w:eastAsia="zh-CN"/>
        </w:rPr>
        <w:t>100</w:t>
      </w:r>
      <w:r>
        <w:rPr>
          <w:rFonts w:hint="default" w:ascii="Times New Roman" w:hAnsi="Times New Roman" w:eastAsia="仿宋_GB2312" w:cs="Times New Roman"/>
          <w:color w:val="auto"/>
          <w:sz w:val="32"/>
          <w:szCs w:val="32"/>
        </w:rPr>
        <w:t>%；政府性基金收入</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100.75</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2022年新增了人员工资福利等经费</w:t>
      </w:r>
      <w:r>
        <w:rPr>
          <w:rFonts w:hint="default"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cs="黑体"/>
          <w:sz w:val="32"/>
          <w:szCs w:val="32"/>
          <w:lang w:val="en-US" w:eastAsia="zh-CN"/>
        </w:rPr>
        <w:t>三亚市重大活动食品安全保障服务中心</w:t>
      </w:r>
      <w:r>
        <w:rPr>
          <w:rFonts w:hint="eastAsia" w:ascii="仿宋_GB2312" w:hAnsi="黑体" w:eastAsia="仿宋_GB2312"/>
          <w:sz w:val="32"/>
          <w:szCs w:val="32"/>
          <w:lang w:val="en-US" w:eastAsia="zh-CN"/>
        </w:rPr>
        <w:t>2022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hint="default" w:ascii="Times New Roman" w:hAnsi="Times New Roman" w:eastAsia="仿宋_GB2312" w:cs="Times New Roman"/>
          <w:color w:val="auto"/>
          <w:sz w:val="32"/>
          <w:shd w:val="clear" w:color="auto" w:fill="FFFFFF"/>
        </w:rPr>
      </w:pPr>
      <w:r>
        <w:rPr>
          <w:rFonts w:hint="eastAsia" w:ascii="仿宋_GB2312" w:hAnsi="黑体" w:eastAsia="仿宋_GB2312" w:cs="仿宋_GB2312"/>
          <w:sz w:val="32"/>
          <w:szCs w:val="32"/>
          <w:lang w:val="en-US" w:eastAsia="zh-CN"/>
        </w:rPr>
        <w:t>三亚市重大活动食品安全保障服务中心</w:t>
      </w:r>
      <w:r>
        <w:rPr>
          <w:rFonts w:hint="default" w:ascii="Times New Roman" w:hAnsi="Times New Roman" w:eastAsia="仿宋_GB2312" w:cs="Times New Roman"/>
          <w:color w:val="auto"/>
          <w:sz w:val="32"/>
          <w:szCs w:val="32"/>
          <w:lang w:val="en-US" w:eastAsia="zh-CN"/>
        </w:rPr>
        <w:t>202</w:t>
      </w:r>
      <w:r>
        <w:rPr>
          <w:rFonts w:hint="eastAsia" w:ascii="Times New Roman" w:hAnsi="Times New Roman" w:eastAsia="仿宋_GB2312" w:cs="Times New Roman"/>
          <w:color w:val="auto"/>
          <w:sz w:val="32"/>
          <w:szCs w:val="32"/>
          <w:lang w:val="en-US" w:eastAsia="zh-CN"/>
        </w:rPr>
        <w:t>2</w:t>
      </w:r>
      <w:r>
        <w:rPr>
          <w:rFonts w:hint="default" w:ascii="Times New Roman" w:hAnsi="Times New Roman" w:eastAsia="仿宋_GB2312" w:cs="Times New Roman"/>
          <w:sz w:val="32"/>
          <w:szCs w:val="32"/>
        </w:rPr>
        <w:t>年支出预算</w:t>
      </w:r>
      <w:r>
        <w:rPr>
          <w:rFonts w:hint="eastAsia" w:ascii="Times New Roman" w:hAnsi="Times New Roman" w:eastAsia="仿宋_GB2312" w:cs="Times New Roman"/>
          <w:color w:val="auto"/>
          <w:sz w:val="32"/>
          <w:szCs w:val="32"/>
          <w:lang w:val="en-US" w:eastAsia="zh-CN"/>
        </w:rPr>
        <w:t>136.63</w:t>
      </w:r>
      <w:r>
        <w:rPr>
          <w:rFonts w:hint="default" w:ascii="Times New Roman" w:hAnsi="Times New Roman" w:eastAsia="仿宋_GB2312" w:cs="Times New Roman"/>
          <w:color w:val="auto"/>
          <w:sz w:val="32"/>
          <w:szCs w:val="32"/>
        </w:rPr>
        <w:t>万元，其中：基本支出</w:t>
      </w:r>
      <w:r>
        <w:rPr>
          <w:rFonts w:hint="eastAsia" w:ascii="Times New Roman" w:hAnsi="Times New Roman" w:eastAsia="仿宋_GB2312" w:cs="Times New Roman"/>
          <w:color w:val="auto"/>
          <w:sz w:val="32"/>
          <w:szCs w:val="32"/>
          <w:lang w:val="en-US" w:eastAsia="zh-CN"/>
        </w:rPr>
        <w:t>86.63</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63.40</w:t>
      </w:r>
      <w:r>
        <w:rPr>
          <w:rFonts w:hint="default" w:ascii="Times New Roman" w:hAnsi="Times New Roman" w:eastAsia="仿宋_GB2312" w:cs="Times New Roman"/>
          <w:color w:val="auto"/>
          <w:sz w:val="32"/>
          <w:szCs w:val="32"/>
        </w:rPr>
        <w:t>%；项目支出</w:t>
      </w:r>
      <w:r>
        <w:rPr>
          <w:rFonts w:hint="eastAsia" w:ascii="Times New Roman" w:hAnsi="Times New Roman" w:eastAsia="仿宋_GB2312" w:cs="Times New Roman"/>
          <w:color w:val="auto"/>
          <w:sz w:val="32"/>
          <w:szCs w:val="32"/>
          <w:lang w:val="en-US" w:eastAsia="zh-CN"/>
        </w:rPr>
        <w:t>50</w:t>
      </w:r>
      <w:r>
        <w:rPr>
          <w:rFonts w:hint="default" w:ascii="Times New Roman" w:hAnsi="Times New Roman" w:eastAsia="仿宋_GB2312" w:cs="Times New Roman"/>
          <w:color w:val="auto"/>
          <w:sz w:val="32"/>
          <w:szCs w:val="32"/>
        </w:rPr>
        <w:t>万元，占</w:t>
      </w:r>
      <w:r>
        <w:rPr>
          <w:rFonts w:hint="eastAsia" w:ascii="Times New Roman" w:hAnsi="Times New Roman" w:eastAsia="仿宋_GB2312" w:cs="Times New Roman"/>
          <w:color w:val="auto"/>
          <w:sz w:val="32"/>
          <w:szCs w:val="32"/>
          <w:lang w:val="en-US" w:eastAsia="zh-CN"/>
        </w:rPr>
        <w:t>36.60</w:t>
      </w:r>
      <w:r>
        <w:rPr>
          <w:rFonts w:hint="default" w:ascii="Times New Roman" w:hAnsi="Times New Roman" w:eastAsia="仿宋_GB2312" w:cs="Times New Roman"/>
          <w:color w:val="auto"/>
          <w:sz w:val="32"/>
          <w:szCs w:val="32"/>
        </w:rPr>
        <w:t>%。</w:t>
      </w:r>
      <w:r>
        <w:rPr>
          <w:rFonts w:hint="default" w:ascii="Times New Roman" w:hAnsi="Times New Roman" w:eastAsia="仿宋_GB2312" w:cs="Times New Roman"/>
          <w:color w:val="auto"/>
          <w:sz w:val="32"/>
          <w:shd w:val="clear" w:color="auto" w:fill="FFFFFF"/>
        </w:rPr>
        <w:t>比上年预算数</w:t>
      </w:r>
      <w:r>
        <w:rPr>
          <w:rFonts w:hint="eastAsia" w:ascii="Times New Roman" w:hAnsi="Times New Roman" w:eastAsia="仿宋_GB2312" w:cs="Times New Roman"/>
          <w:color w:val="auto"/>
          <w:sz w:val="32"/>
          <w:shd w:val="clear" w:color="auto" w:fill="FFFFFF"/>
          <w:lang w:eastAsia="zh-CN"/>
        </w:rPr>
        <w:t>增加</w:t>
      </w:r>
      <w:r>
        <w:rPr>
          <w:rFonts w:hint="eastAsia" w:ascii="Times New Roman" w:hAnsi="Times New Roman" w:eastAsia="仿宋_GB2312" w:cs="Times New Roman"/>
          <w:color w:val="auto"/>
          <w:sz w:val="32"/>
          <w:shd w:val="clear" w:color="auto" w:fill="FFFFFF"/>
          <w:lang w:val="en-US" w:eastAsia="zh-CN"/>
        </w:rPr>
        <w:t>100.75</w:t>
      </w:r>
      <w:r>
        <w:rPr>
          <w:rFonts w:hint="default" w:ascii="Times New Roman" w:hAnsi="Times New Roman" w:eastAsia="仿宋_GB2312" w:cs="Times New Roman"/>
          <w:color w:val="auto"/>
          <w:sz w:val="32"/>
          <w:shd w:val="clear" w:color="auto" w:fill="FFFFFF"/>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val="en-US" w:eastAsia="zh-CN"/>
        </w:rPr>
        <w:t>2022年新增了人员工资福利等经费</w:t>
      </w:r>
      <w:r>
        <w:rPr>
          <w:rFonts w:hint="default" w:ascii="Times New Roman" w:hAnsi="Times New Roman" w:eastAsia="仿宋_GB2312" w:cs="Times New Roman"/>
          <w:color w:val="auto"/>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default" w:ascii="Times New Roman" w:hAnsi="Times New Roman" w:eastAsia="楷体" w:cs="Times New Roman"/>
          <w:sz w:val="32"/>
          <w:szCs w:val="32"/>
        </w:rPr>
      </w:pPr>
      <w:r>
        <w:rPr>
          <w:rFonts w:hint="eastAsia" w:ascii="Times New Roman" w:hAnsi="Times New Roman" w:eastAsia="楷体" w:cs="Times New Roman"/>
          <w:sz w:val="32"/>
          <w:szCs w:val="32"/>
          <w:lang w:eastAsia="zh-CN"/>
        </w:rPr>
        <w:t>（</w:t>
      </w:r>
      <w:r>
        <w:rPr>
          <w:rFonts w:hint="default" w:ascii="Times New Roman" w:hAnsi="Times New Roman" w:eastAsia="楷体" w:cs="Times New Roman"/>
          <w:sz w:val="32"/>
          <w:szCs w:val="32"/>
        </w:rPr>
        <w:t>一）机关运行经费</w:t>
      </w:r>
      <w:r>
        <w:rPr>
          <w:rFonts w:hint="default" w:ascii="Times New Roman" w:hAnsi="Times New Roman" w:eastAsia="楷体" w:cs="Times New Roman"/>
          <w:sz w:val="32"/>
          <w:szCs w:val="32"/>
          <w:lang w:val="en-US" w:eastAsia="zh-CN"/>
        </w:rPr>
        <w:t>（</w:t>
      </w:r>
      <w:r>
        <w:rPr>
          <w:rFonts w:hint="default" w:ascii="Times New Roman" w:hAnsi="Times New Roman" w:eastAsia="楷体" w:cs="Times New Roman"/>
          <w:sz w:val="32"/>
          <w:szCs w:val="32"/>
        </w:rPr>
        <w:t>行政单位</w:t>
      </w:r>
      <w:r>
        <w:rPr>
          <w:rFonts w:hint="default" w:ascii="Times New Roman" w:hAnsi="Times New Roman" w:eastAsia="楷体" w:cs="Times New Roman"/>
          <w:sz w:val="32"/>
          <w:szCs w:val="32"/>
          <w:lang w:eastAsia="zh-CN"/>
        </w:rPr>
        <w:t>、</w:t>
      </w:r>
      <w:r>
        <w:rPr>
          <w:rFonts w:hint="default" w:ascii="Times New Roman" w:hAnsi="Times New Roman" w:eastAsia="楷体" w:cs="Times New Roman"/>
          <w:sz w:val="32"/>
          <w:szCs w:val="32"/>
        </w:rPr>
        <w:t>参照公务员法管理的事业单位</w:t>
      </w:r>
      <w:r>
        <w:rPr>
          <w:rFonts w:hint="default" w:ascii="Times New Roman" w:hAnsi="Times New Roman" w:eastAsia="楷体" w:cs="Times New Roman"/>
          <w:sz w:val="32"/>
          <w:szCs w:val="32"/>
          <w:lang w:eastAsia="zh-CN"/>
        </w:rPr>
        <w:t>需说明，其他单位不需要说明</w:t>
      </w:r>
      <w:r>
        <w:rPr>
          <w:rFonts w:hint="default" w:ascii="Times New Roman" w:hAnsi="Times New Roman" w:eastAsia="楷体" w:cs="Times New Roman"/>
          <w:sz w:val="32"/>
          <w:szCs w:val="32"/>
          <w:lang w:val="en-US" w:eastAsia="zh-CN"/>
        </w:rPr>
        <w:t>）</w:t>
      </w:r>
    </w:p>
    <w:p>
      <w:pPr>
        <w:ind w:firstLine="640" w:firstLineChars="200"/>
        <w:rPr>
          <w:rFonts w:hint="eastAsia" w:ascii="Times New Roman" w:hAnsi="Times New Roman" w:eastAsia="仿宋_GB2312" w:cs="Times New Roman"/>
          <w:sz w:val="32"/>
          <w:szCs w:val="32"/>
          <w:lang w:eastAsia="zh-CN"/>
        </w:rPr>
      </w:pPr>
      <w:r>
        <w:rPr>
          <w:rFonts w:hint="eastAsia" w:ascii="Times New Roman" w:hAnsi="Times New Roman" w:eastAsia="仿宋_GB2312" w:cs="Times New Roman"/>
          <w:sz w:val="32"/>
          <w:szCs w:val="32"/>
          <w:lang w:eastAsia="zh-CN"/>
        </w:rPr>
        <w:t>无。</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（二）政府采购情况</w:t>
      </w:r>
    </w:p>
    <w:p>
      <w:pPr>
        <w:ind w:firstLine="640"/>
        <w:rPr>
          <w:rFonts w:hint="default"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hd w:val="clear" w:color="auto" w:fill="FFFFFF"/>
          <w:lang w:val="en-US" w:eastAsia="zh-CN"/>
        </w:rPr>
        <w:t>三亚市重大活动食品安全保障服务中心</w:t>
      </w:r>
      <w:r>
        <w:rPr>
          <w:rFonts w:hint="default" w:ascii="Times New Roman" w:hAnsi="Times New Roman" w:eastAsia="仿宋_GB2312" w:cs="Times New Roman"/>
          <w:color w:val="auto"/>
          <w:sz w:val="32"/>
          <w:shd w:val="clear" w:color="auto" w:fill="FFFFFF"/>
          <w:lang w:val="en-US" w:eastAsia="zh-CN"/>
        </w:rPr>
        <w:t>202</w:t>
      </w:r>
      <w:r>
        <w:rPr>
          <w:rFonts w:hint="eastAsia" w:ascii="Times New Roman" w:hAnsi="Times New Roman" w:eastAsia="仿宋_GB2312" w:cs="Times New Roman"/>
          <w:color w:val="auto"/>
          <w:sz w:val="32"/>
          <w:shd w:val="clear" w:color="auto" w:fill="FFFFFF"/>
          <w:lang w:val="en-US" w:eastAsia="zh-CN"/>
        </w:rPr>
        <w:t>2</w:t>
      </w:r>
      <w:r>
        <w:rPr>
          <w:rFonts w:hint="default" w:ascii="Times New Roman" w:hAnsi="Times New Roman" w:eastAsia="仿宋_GB2312" w:cs="Times New Roman"/>
          <w:color w:val="auto"/>
          <w:sz w:val="32"/>
          <w:shd w:val="clear" w:color="auto" w:fill="FFFFFF"/>
        </w:rPr>
        <w:t>年政府采购预算总额</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万元，其中：政府采购货物预算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万元，政府采购工程预算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万元，政府采购服务预算</w:t>
      </w:r>
      <w:r>
        <w:rPr>
          <w:rFonts w:hint="eastAsia" w:ascii="Times New Roman" w:hAnsi="Times New Roman" w:eastAsia="仿宋_GB2312" w:cs="Times New Roman"/>
          <w:color w:val="auto"/>
          <w:sz w:val="32"/>
          <w:shd w:val="clear" w:color="auto" w:fill="FFFFFF"/>
          <w:lang w:val="en-US" w:eastAsia="zh-CN"/>
        </w:rPr>
        <w:t>0</w:t>
      </w:r>
      <w:r>
        <w:rPr>
          <w:rFonts w:hint="default" w:ascii="Times New Roman" w:hAnsi="Times New Roman" w:eastAsia="仿宋_GB2312" w:cs="Times New Roman"/>
          <w:color w:val="auto"/>
          <w:sz w:val="32"/>
          <w:shd w:val="clear" w:color="auto" w:fill="FFFFFF"/>
        </w:rPr>
        <w:t>万元。</w:t>
      </w:r>
    </w:p>
    <w:p>
      <w:pPr>
        <w:ind w:firstLine="640" w:firstLineChars="200"/>
        <w:rPr>
          <w:rFonts w:hint="default" w:ascii="Times New Roman" w:hAnsi="Times New Roman" w:eastAsia="楷体" w:cs="Times New Roman"/>
          <w:sz w:val="32"/>
          <w:szCs w:val="32"/>
        </w:rPr>
      </w:pPr>
      <w:r>
        <w:rPr>
          <w:rFonts w:hint="default" w:ascii="Times New Roman" w:hAnsi="Times New Roman" w:eastAsia="楷体" w:cs="Times New Roman"/>
          <w:sz w:val="32"/>
          <w:szCs w:val="32"/>
        </w:rPr>
        <w:t>（三）国有资产占有使用情况</w:t>
      </w:r>
    </w:p>
    <w:p>
      <w:pPr>
        <w:ind w:firstLine="960" w:firstLineChars="300"/>
        <w:rPr>
          <w:rFonts w:hint="default" w:ascii="Times New Roman" w:hAnsi="Times New Roman" w:eastAsia="楷体" w:cs="Times New Roman"/>
          <w:color w:val="auto"/>
          <w:sz w:val="32"/>
          <w:szCs w:val="32"/>
          <w:lang w:val="en-US" w:eastAsia="zh-CN"/>
        </w:rPr>
      </w:pPr>
      <w:r>
        <w:rPr>
          <w:rFonts w:hint="eastAsia" w:ascii="Times New Roman" w:hAnsi="Times New Roman" w:eastAsia="楷体" w:cs="Times New Roman"/>
          <w:color w:val="auto"/>
          <w:sz w:val="32"/>
          <w:szCs w:val="32"/>
          <w:lang w:val="en-US" w:eastAsia="zh-CN"/>
        </w:rPr>
        <w:t>无</w:t>
      </w:r>
    </w:p>
    <w:p>
      <w:pPr>
        <w:ind w:firstLine="640" w:firstLineChars="200"/>
        <w:rPr>
          <w:rFonts w:hint="default" w:ascii="Times New Roman" w:hAnsi="Times New Roman" w:eastAsia="楷体" w:cs="Times New Roman"/>
          <w:color w:val="auto"/>
          <w:sz w:val="32"/>
          <w:szCs w:val="32"/>
        </w:rPr>
      </w:pPr>
      <w:r>
        <w:rPr>
          <w:rFonts w:hint="default" w:ascii="Times New Roman" w:hAnsi="Times New Roman" w:eastAsia="楷体" w:cs="Times New Roman"/>
          <w:color w:val="auto"/>
          <w:sz w:val="32"/>
          <w:szCs w:val="32"/>
        </w:rPr>
        <w:t>（四）绩效目标设置情况</w:t>
      </w:r>
    </w:p>
    <w:p>
      <w:pPr>
        <w:ind w:firstLine="960" w:firstLineChars="300"/>
        <w:jc w:val="left"/>
        <w:rPr>
          <w:rFonts w:hint="eastAsia"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2022</w:t>
      </w:r>
      <w:r>
        <w:rPr>
          <w:rFonts w:hint="default" w:ascii="仿宋_GB2312" w:hAnsi="黑体" w:eastAsia="仿宋_GB2312"/>
          <w:sz w:val="32"/>
          <w:szCs w:val="32"/>
        </w:rPr>
        <w:t>年</w:t>
      </w:r>
      <w:r>
        <w:rPr>
          <w:rFonts w:hint="default" w:ascii="仿宋_GB2312" w:hAnsi="黑体" w:eastAsia="仿宋_GB2312" w:cs="仿宋_GB2312"/>
          <w:sz w:val="32"/>
          <w:szCs w:val="32"/>
          <w:lang w:val="en-US" w:eastAsia="zh-CN"/>
        </w:rPr>
        <w:t>三亚市重大活动食品安全保障服务中心</w:t>
      </w:r>
      <w:r>
        <w:rPr>
          <w:rFonts w:hint="eastAsia" w:ascii="仿宋_GB2312" w:hAnsi="黑体" w:eastAsia="仿宋_GB2312" w:cs="仿宋_GB2312"/>
          <w:sz w:val="32"/>
          <w:szCs w:val="32"/>
          <w:lang w:val="en-US" w:eastAsia="zh-CN"/>
        </w:rPr>
        <w:t>10</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136.64万元。</w:t>
      </w: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w:t>
      </w:r>
      <w:bookmarkStart w:id="0" w:name="_GoBack"/>
      <w:bookmarkEnd w:id="0"/>
      <w:r>
        <w:rPr>
          <w:rFonts w:hint="eastAsia" w:ascii="仿宋_GB2312" w:hAnsi="宋体" w:eastAsia="仿宋_GB2312" w:cs="宋体"/>
          <w:color w:val="000000"/>
          <w:kern w:val="0"/>
          <w:sz w:val="32"/>
          <w:szCs w:val="30"/>
        </w:rPr>
        <w:t>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仿宋_GB2312">
    <w:altName w:val="仿宋"/>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893038598">
    <w:nsid w:val="70D57A06"/>
    <w:multiLevelType w:val="multilevel"/>
    <w:tmpl w:val="70D57A06"/>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516312359">
    <w:nsid w:val="5A611727"/>
    <w:multiLevelType w:val="multilevel"/>
    <w:tmpl w:val="5A611727"/>
    <w:lvl w:ilvl="0" w:tentative="1">
      <w:start w:val="1"/>
      <w:numFmt w:val="japaneseCounting"/>
      <w:lvlText w:val="%1、"/>
      <w:lvlJc w:val="left"/>
      <w:pPr>
        <w:ind w:left="720" w:hanging="720"/>
      </w:pPr>
      <w:rPr>
        <w:rFonts w:hint="default" w:ascii="仿宋_GB2312" w:hAnsi="仿宋_GB2312" w:eastAsia="仿宋_GB2312" w:cs="仿宋_GB2312"/>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06113540">
    <w:nsid w:val="36023204"/>
    <w:multiLevelType w:val="multilevel"/>
    <w:tmpl w:val="36023204"/>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1285186183">
    <w:nsid w:val="4C9A6287"/>
    <w:multiLevelType w:val="multilevel"/>
    <w:tmpl w:val="4C9A6287"/>
    <w:lvl w:ilvl="0" w:tentative="1">
      <w:start w:val="1"/>
      <w:numFmt w:val="japaneseCounting"/>
      <w:lvlText w:val="%1、"/>
      <w:lvlJc w:val="left"/>
      <w:pPr>
        <w:ind w:left="720" w:hanging="720"/>
      </w:pPr>
      <w:rPr>
        <w:rFonts w:hint="default"/>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abstractNum w:abstractNumId="92482439">
    <w:nsid w:val="05832B87"/>
    <w:multiLevelType w:val="multilevel"/>
    <w:tmpl w:val="05832B87"/>
    <w:lvl w:ilvl="0" w:tentative="1">
      <w:start w:val="1"/>
      <w:numFmt w:val="chineseCountingThousand"/>
      <w:lvlText w:val="第%1部分"/>
      <w:lvlJc w:val="left"/>
      <w:pPr>
        <w:ind w:left="1320" w:hanging="1320"/>
      </w:pPr>
      <w:rPr>
        <w:rFonts w:hint="eastAsia" w:ascii="黑体" w:hAnsi="黑体" w:eastAsia="黑体" w:cs="黑体"/>
      </w:rPr>
    </w:lvl>
    <w:lvl w:ilvl="1" w:tentative="1">
      <w:start w:val="1"/>
      <w:numFmt w:val="lowerLetter"/>
      <w:lvlText w:val="%2)"/>
      <w:lvlJc w:val="left"/>
      <w:pPr>
        <w:ind w:left="840" w:hanging="420"/>
      </w:pPr>
    </w:lvl>
    <w:lvl w:ilvl="2" w:tentative="1">
      <w:start w:val="1"/>
      <w:numFmt w:val="lowerRoman"/>
      <w:lvlText w:val="%3."/>
      <w:lvlJc w:val="right"/>
      <w:pPr>
        <w:ind w:left="1260" w:hanging="420"/>
      </w:pPr>
    </w:lvl>
    <w:lvl w:ilvl="3" w:tentative="1">
      <w:start w:val="1"/>
      <w:numFmt w:val="decimal"/>
      <w:lvlText w:val="%4."/>
      <w:lvlJc w:val="left"/>
      <w:pPr>
        <w:ind w:left="1680" w:hanging="420"/>
      </w:pPr>
    </w:lvl>
    <w:lvl w:ilvl="4" w:tentative="1">
      <w:start w:val="1"/>
      <w:numFmt w:val="lowerLetter"/>
      <w:lvlText w:val="%5)"/>
      <w:lvlJc w:val="left"/>
      <w:pPr>
        <w:ind w:left="2100" w:hanging="420"/>
      </w:pPr>
    </w:lvl>
    <w:lvl w:ilvl="5" w:tentative="1">
      <w:start w:val="1"/>
      <w:numFmt w:val="lowerRoman"/>
      <w:lvlText w:val="%6."/>
      <w:lvlJc w:val="right"/>
      <w:pPr>
        <w:ind w:left="2520" w:hanging="420"/>
      </w:pPr>
    </w:lvl>
    <w:lvl w:ilvl="6" w:tentative="1">
      <w:start w:val="1"/>
      <w:numFmt w:val="decimal"/>
      <w:lvlText w:val="%7."/>
      <w:lvlJc w:val="left"/>
      <w:pPr>
        <w:ind w:left="2940" w:hanging="420"/>
      </w:pPr>
    </w:lvl>
    <w:lvl w:ilvl="7" w:tentative="1">
      <w:start w:val="1"/>
      <w:numFmt w:val="lowerLetter"/>
      <w:lvlText w:val="%8)"/>
      <w:lvlJc w:val="left"/>
      <w:pPr>
        <w:ind w:left="3360" w:hanging="420"/>
      </w:pPr>
    </w:lvl>
    <w:lvl w:ilvl="8" w:tentative="1">
      <w:start w:val="1"/>
      <w:numFmt w:val="lowerRoman"/>
      <w:lvlText w:val="%9."/>
      <w:lvlJc w:val="right"/>
      <w:pPr>
        <w:ind w:left="3780" w:hanging="420"/>
      </w:pPr>
    </w:lvl>
  </w:abstractNum>
  <w:num w:numId="1">
    <w:abstractNumId w:val="92482439"/>
  </w:num>
  <w:num w:numId="2">
    <w:abstractNumId w:val="1285186183"/>
  </w:num>
  <w:num w:numId="3">
    <w:abstractNumId w:val="1516312359"/>
  </w:num>
  <w:num w:numId="4">
    <w:abstractNumId w:val="1893038598"/>
  </w:num>
  <w:num w:numId="5">
    <w:abstractNumId w:val="9061135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0E548A"/>
    <w:rsid w:val="082D11A4"/>
    <w:rsid w:val="1F301E78"/>
    <w:rsid w:val="3E3940BF"/>
    <w:rsid w:val="4E1D0F4E"/>
    <w:rsid w:val="5E7C239F"/>
    <w:rsid w:val="745C5F9F"/>
    <w:rsid w:val="77601A3F"/>
    <w:rsid w:val="7DEBCAFF"/>
  </w:rsid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unhideWhenUsed/>
    <w:qFormat/>
    <w:uiPriority w:val="1"/>
  </w:style>
  <w:style w:type="table" w:default="1" w:styleId="6">
    <w:name w:val="Normal Table"/>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0"/>
    <w:pPr>
      <w:jc w:val="left"/>
    </w:pPr>
  </w:style>
  <w:style w:type="paragraph" w:styleId="3">
    <w:name w:val="footer"/>
    <w:basedOn w:val="1"/>
    <w:link w:val="10"/>
    <w:unhideWhenUsed/>
    <w:qFormat/>
    <w:uiPriority w:val="99"/>
    <w:pPr>
      <w:tabs>
        <w:tab w:val="center" w:pos="4153"/>
        <w:tab w:val="right" w:pos="8306"/>
      </w:tabs>
      <w:snapToGrid w:val="0"/>
      <w:jc w:val="left"/>
    </w:pPr>
    <w:rPr>
      <w:sz w:val="18"/>
      <w:szCs w:val="18"/>
    </w:rPr>
  </w:style>
  <w:style w:type="paragraph" w:styleId="4">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7">
    <w:name w:val="List Paragraph"/>
    <w:basedOn w:val="1"/>
    <w:qFormat/>
    <w:uiPriority w:val="34"/>
    <w:pPr>
      <w:ind w:firstLine="420" w:firstLineChars="200"/>
    </w:pPr>
  </w:style>
  <w:style w:type="paragraph" w:customStyle="1" w:styleId="8">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9">
    <w:name w:val="页眉 Char"/>
    <w:basedOn w:val="5"/>
    <w:link w:val="4"/>
    <w:semiHidden/>
    <w:qFormat/>
    <w:uiPriority w:val="99"/>
    <w:rPr>
      <w:sz w:val="18"/>
      <w:szCs w:val="18"/>
    </w:rPr>
  </w:style>
  <w:style w:type="character" w:customStyle="1" w:styleId="10">
    <w:name w:val="页脚 Char"/>
    <w:basedOn w:val="5"/>
    <w:link w:val="3"/>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3208</Words>
  <Characters>3490</Characters>
  <Lines>27</Lines>
  <Paragraphs>7</Paragraphs>
  <TotalTime>0</TotalTime>
  <ScaleCrop>false</ScaleCrop>
  <LinksUpToDate>false</LinksUpToDate>
  <CharactersWithSpaces>3521</CharactersWithSpaces>
  <Application>WPS Office_10.8.0.5603_F1E327BC-269C-435d-A152-05C5408002CA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2017-02-03T15:31:00Z</dcterms:created>
  <dc:creator>null,null,总收发</dc:creator>
  <cp:lastModifiedBy>Administrator</cp:lastModifiedBy>
  <dcterms:modified xsi:type="dcterms:W3CDTF">2023-07-05T02:21:21Z</dcterms:modified>
  <dc:title>××年××部门（单位）预算</dc:title>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2052-10.8.0.5603</vt:lpwstr>
  </property>
  <property fmtid="{D5CDD505-2E9C-101B-9397-08002B2CF9AE}" pid="3" name="ICV">
    <vt:lpwstr>C4525D9EFC244335BF5F13F82DE476A5</vt:lpwstr>
  </property>
</Properties>
</file>