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color w:val="auto"/>
          <w:sz w:val="84"/>
          <w:szCs w:val="84"/>
          <w:highlight w:val="none"/>
          <w:u w:val="single"/>
          <w:lang w:eastAsia="zh-CN"/>
        </w:rPr>
      </w:pPr>
    </w:p>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jc w:val="center"/>
        <w:rPr>
          <w:color w:val="auto"/>
          <w:sz w:val="52"/>
          <w:szCs w:val="52"/>
          <w:highlight w:val="none"/>
        </w:rPr>
      </w:pPr>
      <w:r>
        <w:rPr>
          <w:rFonts w:hint="eastAsia"/>
          <w:color w:val="auto"/>
          <w:sz w:val="52"/>
          <w:szCs w:val="52"/>
          <w:highlight w:val="none"/>
        </w:rPr>
        <w:t>202</w:t>
      </w:r>
      <w:r>
        <w:rPr>
          <w:rFonts w:hint="eastAsia"/>
          <w:color w:val="auto"/>
          <w:sz w:val="52"/>
          <w:szCs w:val="52"/>
          <w:highlight w:val="none"/>
          <w:lang w:val="en-US" w:eastAsia="zh-CN"/>
        </w:rPr>
        <w:t>2</w:t>
      </w:r>
      <w:r>
        <w:rPr>
          <w:rFonts w:hint="eastAsia"/>
          <w:color w:val="auto"/>
          <w:sz w:val="52"/>
          <w:szCs w:val="52"/>
          <w:highlight w:val="none"/>
        </w:rPr>
        <w:t>年三亚市天涯区退役军人事务局部门预算</w:t>
      </w: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rPr>
          <w:color w:val="auto"/>
          <w:sz w:val="52"/>
          <w:szCs w:val="52"/>
          <w:highlight w:val="none"/>
        </w:rPr>
      </w:pPr>
    </w:p>
    <w:p>
      <w:pPr>
        <w:rPr>
          <w:color w:val="auto"/>
          <w:sz w:val="52"/>
          <w:szCs w:val="52"/>
          <w:highlight w:val="none"/>
        </w:rPr>
      </w:pPr>
    </w:p>
    <w:p>
      <w:pPr>
        <w:jc w:val="center"/>
        <w:rPr>
          <w:rFonts w:ascii="黑体" w:hAnsi="黑体" w:eastAsia="黑体"/>
          <w:color w:val="auto"/>
          <w:sz w:val="52"/>
          <w:szCs w:val="52"/>
          <w:highlight w:val="none"/>
        </w:rPr>
      </w:pPr>
      <w:r>
        <w:rPr>
          <w:rFonts w:hint="eastAsia" w:ascii="黑体" w:hAnsi="黑体" w:eastAsia="黑体"/>
          <w:color w:val="auto"/>
          <w:sz w:val="52"/>
          <w:szCs w:val="52"/>
          <w:highlight w:val="none"/>
        </w:rPr>
        <w:t>目录</w:t>
      </w:r>
    </w:p>
    <w:p>
      <w:pPr>
        <w:pStyle w:val="7"/>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olor w:val="auto"/>
          <w:sz w:val="32"/>
          <w:szCs w:val="32"/>
          <w:highlight w:val="none"/>
          <w:lang w:val="en-US" w:eastAsia="zh-CN"/>
        </w:rPr>
        <w:t>部门</w:t>
      </w:r>
      <w:r>
        <w:rPr>
          <w:rFonts w:hint="eastAsia" w:ascii="黑体" w:hAnsi="黑体" w:eastAsia="黑体"/>
          <w:color w:val="auto"/>
          <w:sz w:val="32"/>
          <w:szCs w:val="32"/>
          <w:highlight w:val="none"/>
        </w:rPr>
        <w:t>概况</w:t>
      </w:r>
    </w:p>
    <w:p>
      <w:pPr>
        <w:pStyle w:val="7"/>
        <w:numPr>
          <w:ilvl w:val="0"/>
          <w:numId w:val="2"/>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主要职能</w:t>
      </w:r>
    </w:p>
    <w:p>
      <w:pPr>
        <w:pStyle w:val="7"/>
        <w:numPr>
          <w:ilvl w:val="0"/>
          <w:numId w:val="2"/>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部门预算单位构成</w:t>
      </w:r>
    </w:p>
    <w:p>
      <w:pPr>
        <w:pStyle w:val="7"/>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s="黑体"/>
          <w:color w:val="auto"/>
          <w:sz w:val="32"/>
          <w:szCs w:val="32"/>
          <w:highlight w:val="none"/>
        </w:rPr>
        <w:t>202</w:t>
      </w:r>
      <w:r>
        <w:rPr>
          <w:rFonts w:hint="eastAsia" w:ascii="黑体" w:hAnsi="黑体" w:eastAsia="黑体" w:cs="黑体"/>
          <w:color w:val="auto"/>
          <w:sz w:val="32"/>
          <w:szCs w:val="32"/>
          <w:highlight w:val="none"/>
          <w:lang w:val="en-US" w:eastAsia="zh-CN"/>
        </w:rPr>
        <w:t>2</w:t>
      </w:r>
      <w:r>
        <w:rPr>
          <w:rFonts w:hint="eastAsia" w:ascii="黑体" w:hAnsi="黑体" w:eastAsia="黑体"/>
          <w:color w:val="auto"/>
          <w:sz w:val="32"/>
          <w:szCs w:val="32"/>
          <w:highlight w:val="none"/>
        </w:rPr>
        <w:t>年部门预算表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财政拨款收支总表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一般公共预算基本支出表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一般公共预算“三公”经费支出表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政府性基金预算“三公”经费支出表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部门收支总表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部门收入总表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部门支出总表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项目支出绩效信息表</w:t>
      </w:r>
    </w:p>
    <w:p>
      <w:pPr>
        <w:pStyle w:val="7"/>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s="黑体"/>
          <w:color w:val="auto"/>
          <w:sz w:val="32"/>
          <w:szCs w:val="32"/>
          <w:highlight w:val="none"/>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年</w:t>
      </w:r>
      <w:r>
        <w:rPr>
          <w:rFonts w:hint="eastAsia" w:ascii="黑体" w:hAnsi="黑体" w:eastAsia="黑体"/>
          <w:color w:val="auto"/>
          <w:sz w:val="32"/>
          <w:szCs w:val="32"/>
          <w:highlight w:val="none"/>
        </w:rPr>
        <w:t>部门预算情况说明</w:t>
      </w:r>
    </w:p>
    <w:p>
      <w:pPr>
        <w:pStyle w:val="7"/>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名词解释</w:t>
      </w:r>
    </w:p>
    <w:p>
      <w:pPr>
        <w:pStyle w:val="7"/>
        <w:ind w:left="1320" w:firstLine="0" w:firstLineChars="0"/>
        <w:jc w:val="left"/>
        <w:rPr>
          <w:rFonts w:ascii="黑体" w:hAnsi="黑体" w:eastAsia="黑体"/>
          <w:color w:val="auto"/>
          <w:sz w:val="32"/>
          <w:szCs w:val="32"/>
          <w:highlight w:val="none"/>
        </w:rPr>
      </w:pPr>
    </w:p>
    <w:p>
      <w:pPr>
        <w:pStyle w:val="7"/>
        <w:ind w:left="1320" w:firstLine="0" w:firstLineChars="0"/>
        <w:jc w:val="left"/>
        <w:rPr>
          <w:rFonts w:ascii="黑体" w:hAnsi="黑体" w:eastAsia="黑体"/>
          <w:color w:val="auto"/>
          <w:sz w:val="32"/>
          <w:szCs w:val="32"/>
          <w:highlight w:val="none"/>
        </w:rPr>
      </w:pPr>
    </w:p>
    <w:p>
      <w:pPr>
        <w:pStyle w:val="7"/>
        <w:ind w:firstLine="0" w:firstLineChars="0"/>
        <w:jc w:val="left"/>
        <w:rPr>
          <w:rFonts w:ascii="黑体" w:hAnsi="黑体" w:eastAsia="黑体"/>
          <w:color w:val="auto"/>
          <w:sz w:val="32"/>
          <w:szCs w:val="32"/>
          <w:highlight w:val="none"/>
        </w:rPr>
      </w:pPr>
    </w:p>
    <w:p>
      <w:pPr>
        <w:pStyle w:val="7"/>
        <w:numPr>
          <w:ilvl w:val="0"/>
          <w:numId w:val="4"/>
        </w:numPr>
        <w:ind w:firstLineChars="0"/>
        <w:jc w:val="center"/>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三亚市天涯区退役军人事务局</w:t>
      </w:r>
      <w:r>
        <w:rPr>
          <w:rFonts w:hint="eastAsia" w:ascii="黑体" w:hAnsi="黑体" w:eastAsia="黑体"/>
          <w:color w:val="auto"/>
          <w:sz w:val="32"/>
          <w:szCs w:val="32"/>
          <w:highlight w:val="none"/>
          <w:lang w:val="en-US" w:eastAsia="zh-CN"/>
        </w:rPr>
        <w:t>部门</w:t>
      </w:r>
      <w:r>
        <w:rPr>
          <w:rFonts w:hint="eastAsia" w:ascii="黑体" w:hAnsi="黑体" w:eastAsia="黑体"/>
          <w:color w:val="auto"/>
          <w:sz w:val="32"/>
          <w:szCs w:val="32"/>
          <w:highlight w:val="none"/>
        </w:rPr>
        <w:t>概况</w:t>
      </w:r>
    </w:p>
    <w:p>
      <w:pPr>
        <w:jc w:val="left"/>
        <w:rPr>
          <w:rFonts w:ascii="仿宋_GB2312" w:hAnsi="仿宋_GB2312" w:eastAsia="仿宋_GB2312" w:cs="仿宋_GB2312"/>
          <w:color w:val="auto"/>
          <w:sz w:val="32"/>
          <w:szCs w:val="32"/>
          <w:highlight w:val="none"/>
        </w:rPr>
      </w:pPr>
    </w:p>
    <w:p>
      <w:pPr>
        <w:pStyle w:val="7"/>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pStyle w:val="7"/>
        <w:ind w:firstLine="640"/>
        <w:jc w:val="left"/>
        <w:rPr>
          <w:rFonts w:ascii="仿宋_GB2312" w:hAnsi="黑体"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我部门主要职责</w:t>
      </w:r>
      <w:bookmarkStart w:id="0" w:name="_GoBack"/>
      <w:bookmarkEnd w:id="0"/>
      <w:r>
        <w:rPr>
          <w:rFonts w:hint="eastAsia" w:ascii="仿宋_GB2312" w:hAnsi="仿宋_GB2312" w:eastAsia="仿宋_GB2312" w:cs="仿宋_GB2312"/>
          <w:color w:val="auto"/>
          <w:sz w:val="32"/>
          <w:szCs w:val="32"/>
          <w:highlight w:val="none"/>
          <w:lang w:val="en-US" w:eastAsia="zh-CN"/>
        </w:rPr>
        <w:t>根据三定方案设立，该方案正处于保密期内，主要职责不予公开。</w:t>
      </w:r>
    </w:p>
    <w:p>
      <w:pPr>
        <w:pStyle w:val="7"/>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部门预算单位构成</w:t>
      </w:r>
    </w:p>
    <w:p>
      <w:pPr>
        <w:pStyle w:val="7"/>
        <w:ind w:firstLine="6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纳入</w:t>
      </w:r>
      <w:r>
        <w:rPr>
          <w:rFonts w:hint="eastAsia" w:ascii="仿宋_GB2312" w:hAnsi="仿宋_GB2312" w:eastAsia="仿宋_GB2312" w:cs="仿宋_GB2312"/>
          <w:color w:val="auto"/>
          <w:sz w:val="32"/>
          <w:szCs w:val="32"/>
          <w:highlight w:val="none"/>
          <w:lang w:eastAsia="zh-CN"/>
        </w:rPr>
        <w:t>三亚市天涯区退役军人事务局202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部门预算编制范围的二级预算单位</w:t>
      </w:r>
      <w:r>
        <w:rPr>
          <w:rFonts w:hint="eastAsia" w:ascii="仿宋_GB2312" w:hAnsi="仿宋_GB2312" w:eastAsia="仿宋_GB2312" w:cs="仿宋_GB2312"/>
          <w:color w:val="auto"/>
          <w:sz w:val="32"/>
          <w:szCs w:val="32"/>
          <w:highlight w:val="none"/>
          <w:lang w:eastAsia="zh-CN"/>
        </w:rPr>
        <w:t>包括：</w:t>
      </w:r>
    </w:p>
    <w:p>
      <w:pPr>
        <w:pStyle w:val="7"/>
        <w:numPr>
          <w:ilvl w:val="0"/>
          <w:numId w:val="6"/>
        </w:numPr>
        <w:ind w:firstLine="6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三亚市天涯区退役军人事务局</w:t>
      </w:r>
      <w:r>
        <w:rPr>
          <w:rFonts w:hint="eastAsia" w:ascii="仿宋_GB2312" w:hAnsi="仿宋_GB2312" w:eastAsia="仿宋_GB2312" w:cs="仿宋_GB2312"/>
          <w:color w:val="auto"/>
          <w:sz w:val="32"/>
          <w:szCs w:val="32"/>
          <w:highlight w:val="none"/>
          <w:lang w:val="en-US" w:eastAsia="zh-CN"/>
        </w:rPr>
        <w:t>本级</w:t>
      </w:r>
    </w:p>
    <w:p>
      <w:pPr>
        <w:pStyle w:val="7"/>
        <w:numPr>
          <w:ilvl w:val="0"/>
          <w:numId w:val="6"/>
        </w:numPr>
        <w:ind w:firstLine="6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三亚市天涯区退役军人</w:t>
      </w:r>
      <w:r>
        <w:rPr>
          <w:rFonts w:hint="eastAsia" w:ascii="仿宋_GB2312" w:hAnsi="仿宋_GB2312" w:eastAsia="仿宋_GB2312" w:cs="仿宋_GB2312"/>
          <w:color w:val="auto"/>
          <w:sz w:val="32"/>
          <w:szCs w:val="32"/>
          <w:highlight w:val="none"/>
          <w:lang w:val="en-US" w:eastAsia="zh-CN"/>
        </w:rPr>
        <w:t>服务中心</w:t>
      </w:r>
    </w:p>
    <w:p>
      <w:pPr>
        <w:ind w:left="800"/>
        <w:jc w:val="center"/>
        <w:rPr>
          <w:rFonts w:ascii="黑体" w:hAnsi="黑体" w:eastAsia="黑体"/>
          <w:color w:val="auto"/>
          <w:sz w:val="32"/>
          <w:szCs w:val="32"/>
          <w:highlight w:val="none"/>
        </w:rPr>
      </w:pPr>
    </w:p>
    <w:p>
      <w:pPr>
        <w:ind w:left="80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第二部分 三亚市天涯区退役军人事务局</w:t>
      </w:r>
    </w:p>
    <w:p>
      <w:pPr>
        <w:ind w:left="800"/>
        <w:jc w:val="center"/>
        <w:rPr>
          <w:rFonts w:hint="eastAsia" w:ascii="黑体" w:hAnsi="黑体" w:eastAsia="黑体" w:cs="黑体"/>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rPr>
        <w:t>部门预算表</w:t>
      </w:r>
    </w:p>
    <w:p>
      <w:pPr>
        <w:ind w:left="800"/>
        <w:jc w:val="left"/>
        <w:rPr>
          <w:rFonts w:ascii="黑体" w:hAnsi="黑体" w:eastAsia="黑体"/>
          <w:color w:val="auto"/>
          <w:sz w:val="32"/>
          <w:szCs w:val="32"/>
          <w:highlight w:val="none"/>
        </w:rPr>
      </w:pPr>
    </w:p>
    <w:p>
      <w:pPr>
        <w:ind w:left="800"/>
        <w:jc w:val="center"/>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（此部分内容即为部门预算公开表）</w:t>
      </w:r>
    </w:p>
    <w:p>
      <w:pPr>
        <w:rPr>
          <w:rFonts w:ascii="黑体" w:hAnsi="黑体" w:eastAsia="黑体"/>
          <w:color w:val="auto"/>
          <w:sz w:val="32"/>
          <w:szCs w:val="32"/>
          <w:highlight w:val="none"/>
        </w:rPr>
      </w:pPr>
    </w:p>
    <w:p>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第三部分   三亚市天涯区退役军人事务局</w:t>
      </w:r>
    </w:p>
    <w:p>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s="黑体"/>
          <w:color w:val="auto"/>
          <w:sz w:val="32"/>
          <w:szCs w:val="32"/>
          <w:highlight w:val="none"/>
        </w:rPr>
        <w:t xml:space="preserve"> </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eastAsia" w:ascii="黑体" w:hAnsi="黑体" w:eastAsia="黑体"/>
          <w:color w:val="auto"/>
          <w:sz w:val="32"/>
          <w:szCs w:val="32"/>
          <w:highlight w:val="none"/>
        </w:rPr>
        <w:t>部门预算情况说明</w:t>
      </w:r>
    </w:p>
    <w:p>
      <w:pPr>
        <w:jc w:val="center"/>
        <w:rPr>
          <w:rFonts w:ascii="黑体" w:hAnsi="黑体" w:eastAsia="黑体"/>
          <w:color w:val="auto"/>
          <w:sz w:val="32"/>
          <w:szCs w:val="32"/>
          <w:highlight w:val="none"/>
        </w:rPr>
      </w:pPr>
    </w:p>
    <w:p>
      <w:pPr>
        <w:ind w:firstLine="640" w:firstLineChars="200"/>
        <w:jc w:val="left"/>
        <w:rPr>
          <w:rFonts w:hint="eastAsia" w:ascii="黑体" w:hAnsi="黑体" w:eastAsia="黑体" w:cs="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s="黑体"/>
          <w:color w:val="auto"/>
          <w:sz w:val="32"/>
          <w:szCs w:val="32"/>
          <w:highlight w:val="none"/>
        </w:rPr>
        <w:t>关于三亚市天涯区退役军人事务局</w:t>
      </w:r>
      <w:r>
        <w:rPr>
          <w:rFonts w:hint="eastAsia" w:ascii="黑体" w:hAnsi="黑体" w:eastAsia="黑体" w:cs="黑体"/>
          <w:color w:val="auto"/>
          <w:sz w:val="32"/>
          <w:szCs w:val="32"/>
          <w:highlight w:val="none"/>
          <w:lang w:eastAsia="zh-CN"/>
        </w:rPr>
        <w:t>部门202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rPr>
        <w:t>财政拨款收支预算情况的总体说明</w:t>
      </w:r>
    </w:p>
    <w:p>
      <w:pPr>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财政拨款收支总预算</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万元。其中，收入总计</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万元，包括一般公共预算本年收入</w:t>
      </w:r>
      <w:r>
        <w:rPr>
          <w:rFonts w:hint="eastAsia" w:ascii="仿宋_GB2312" w:hAnsi="仿宋_GB2312" w:eastAsia="仿宋_GB2312" w:cs="仿宋_GB2312"/>
          <w:color w:val="auto"/>
          <w:sz w:val="32"/>
          <w:szCs w:val="32"/>
          <w:highlight w:val="none"/>
          <w:lang w:val="en-US" w:eastAsia="zh-CN"/>
        </w:rPr>
        <w:t>1239.07</w:t>
      </w:r>
      <w:r>
        <w:rPr>
          <w:rFonts w:hint="eastAsia" w:ascii="仿宋_GB2312" w:hAnsi="仿宋_GB2312" w:eastAsia="仿宋_GB2312" w:cs="仿宋_GB2312"/>
          <w:color w:val="auto"/>
          <w:sz w:val="32"/>
          <w:szCs w:val="32"/>
          <w:highlight w:val="none"/>
        </w:rPr>
        <w:t>万元、上年结转</w:t>
      </w:r>
      <w:r>
        <w:rPr>
          <w:rFonts w:hint="eastAsia" w:ascii="仿宋_GB2312" w:hAnsi="仿宋_GB2312" w:eastAsia="仿宋_GB2312" w:cs="仿宋_GB2312"/>
          <w:color w:val="auto"/>
          <w:sz w:val="32"/>
          <w:szCs w:val="32"/>
          <w:highlight w:val="none"/>
          <w:lang w:val="en-US" w:eastAsia="zh-CN"/>
        </w:rPr>
        <w:t>20.93</w:t>
      </w:r>
      <w:r>
        <w:rPr>
          <w:rFonts w:hint="eastAsia" w:ascii="仿宋_GB2312" w:hAnsi="仿宋_GB2312" w:eastAsia="仿宋_GB2312" w:cs="仿宋_GB2312"/>
          <w:color w:val="auto"/>
          <w:sz w:val="32"/>
          <w:szCs w:val="32"/>
          <w:highlight w:val="none"/>
        </w:rPr>
        <w:t>万元，政府性基金预算本年收入0万元、上年结转0万元；支出总计</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万元，包括社会保障和就业支出</w:t>
      </w:r>
      <w:r>
        <w:rPr>
          <w:rFonts w:hint="eastAsia" w:ascii="仿宋_GB2312" w:hAnsi="仿宋_GB2312" w:eastAsia="仿宋_GB2312" w:cs="仿宋_GB2312"/>
          <w:color w:val="auto"/>
          <w:sz w:val="32"/>
          <w:szCs w:val="32"/>
          <w:highlight w:val="none"/>
          <w:lang w:val="en-US" w:eastAsia="zh-CN"/>
        </w:rPr>
        <w:t>1231.79</w:t>
      </w:r>
      <w:r>
        <w:rPr>
          <w:rFonts w:hint="eastAsia" w:ascii="仿宋_GB2312" w:hAnsi="仿宋_GB2312" w:eastAsia="仿宋_GB2312" w:cs="仿宋_GB2312"/>
          <w:color w:val="auto"/>
          <w:sz w:val="32"/>
          <w:szCs w:val="32"/>
          <w:highlight w:val="none"/>
        </w:rPr>
        <w:t>万元、卫生健康支出</w:t>
      </w:r>
      <w:r>
        <w:rPr>
          <w:rFonts w:hint="eastAsia" w:ascii="仿宋_GB2312" w:hAnsi="仿宋_GB2312" w:eastAsia="仿宋_GB2312" w:cs="仿宋_GB2312"/>
          <w:color w:val="auto"/>
          <w:sz w:val="32"/>
          <w:szCs w:val="32"/>
          <w:highlight w:val="none"/>
          <w:lang w:val="en-US" w:eastAsia="zh-CN"/>
        </w:rPr>
        <w:t>17.06</w:t>
      </w:r>
      <w:r>
        <w:rPr>
          <w:rFonts w:hint="eastAsia" w:ascii="仿宋_GB2312" w:hAnsi="仿宋_GB2312" w:eastAsia="仿宋_GB2312" w:cs="仿宋_GB2312"/>
          <w:color w:val="auto"/>
          <w:sz w:val="32"/>
          <w:szCs w:val="32"/>
          <w:highlight w:val="none"/>
        </w:rPr>
        <w:t>万元、住房保障支出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万元，结转下年0万元。</w:t>
      </w:r>
    </w:p>
    <w:p>
      <w:pPr>
        <w:ind w:firstLine="64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二、关于三亚市天涯区退役军人事务局</w:t>
      </w:r>
      <w:r>
        <w:rPr>
          <w:rFonts w:hint="default" w:ascii="Times New Roman" w:hAnsi="Times New Roman" w:eastAsia="黑体" w:cs="Times New Roman"/>
          <w:color w:val="auto"/>
          <w:sz w:val="32"/>
          <w:szCs w:val="32"/>
          <w:highlight w:val="none"/>
          <w:lang w:eastAsia="zh-CN"/>
        </w:rPr>
        <w:t>部门</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default" w:ascii="Times New Roman" w:hAnsi="Times New Roman" w:eastAsia="黑体" w:cs="Times New Roman"/>
          <w:color w:val="auto"/>
          <w:sz w:val="32"/>
          <w:szCs w:val="32"/>
          <w:highlight w:val="none"/>
        </w:rPr>
        <w:t>一般公共预算当年拨款情况说明</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（一）一般公共预算当年规模变化情况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年</w:t>
      </w:r>
      <w:r>
        <w:rPr>
          <w:rFonts w:hint="eastAsia" w:ascii="仿宋_GB2312" w:hAnsi="仿宋_GB2312" w:eastAsia="仿宋_GB2312" w:cs="仿宋_GB2312"/>
          <w:color w:val="auto"/>
          <w:sz w:val="32"/>
          <w:szCs w:val="32"/>
          <w:highlight w:val="none"/>
        </w:rPr>
        <w:t>一般公共预算当年拨款</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544.24万元，主要是在编人员增加，社会保障和就业支出、卫生健康支出、住房保障支出随之增加。</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（二）一般公共预算当年拨款结构情况</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社会保障和就业（类）支出</w:t>
      </w:r>
      <w:r>
        <w:rPr>
          <w:rFonts w:hint="eastAsia" w:ascii="仿宋_GB2312" w:hAnsi="仿宋_GB2312" w:eastAsia="仿宋_GB2312" w:cs="仿宋_GB2312"/>
          <w:color w:val="auto"/>
          <w:sz w:val="32"/>
          <w:szCs w:val="32"/>
          <w:highlight w:val="none"/>
          <w:lang w:val="en-US" w:eastAsia="zh-CN"/>
        </w:rPr>
        <w:t>1231.79</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97.76</w:t>
      </w:r>
      <w:r>
        <w:rPr>
          <w:rFonts w:hint="eastAsia" w:ascii="仿宋_GB2312" w:hAnsi="仿宋_GB2312" w:eastAsia="仿宋_GB2312" w:cs="仿宋_GB2312"/>
          <w:color w:val="auto"/>
          <w:sz w:val="32"/>
          <w:szCs w:val="32"/>
          <w:highlight w:val="none"/>
        </w:rPr>
        <w:t>%；卫生健康支出</w:t>
      </w:r>
      <w:r>
        <w:rPr>
          <w:rFonts w:hint="eastAsia" w:ascii="仿宋_GB2312" w:hAnsi="仿宋_GB2312" w:eastAsia="仿宋_GB2312" w:cs="仿宋_GB2312"/>
          <w:color w:val="auto"/>
          <w:sz w:val="32"/>
          <w:szCs w:val="32"/>
          <w:highlight w:val="none"/>
          <w:lang w:val="en-US" w:eastAsia="zh-CN"/>
        </w:rPr>
        <w:t>17.06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1.35</w:t>
      </w:r>
      <w:r>
        <w:rPr>
          <w:rFonts w:hint="eastAsia" w:ascii="仿宋_GB2312" w:hAnsi="仿宋_GB2312" w:eastAsia="仿宋_GB2312" w:cs="仿宋_GB2312"/>
          <w:color w:val="auto"/>
          <w:sz w:val="32"/>
          <w:szCs w:val="32"/>
          <w:highlight w:val="none"/>
        </w:rPr>
        <w:t>%；住房保障支出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0.91</w:t>
      </w:r>
      <w:r>
        <w:rPr>
          <w:rFonts w:hint="eastAsia" w:ascii="仿宋_GB2312" w:hAnsi="仿宋_GB2312" w:eastAsia="仿宋_GB2312" w:cs="仿宋_GB2312"/>
          <w:color w:val="auto"/>
          <w:sz w:val="32"/>
          <w:szCs w:val="32"/>
          <w:highlight w:val="none"/>
        </w:rPr>
        <w:t>%。</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（三）一般公共预算当年拨款具体使用情况</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社会保障和就业支出（类）民政管理事务（款）其他民政管理事务支出（项）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14.93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14.93万元，主要原因是工作计划调整。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.社会保障和就业支出（类）行政事业单位养老支出（款）机关事业单位基本养老保险缴费支出（项）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15.07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2.91万元，主要原因是在编人员减少。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社会保障和就业支出（类）</w:t>
      </w:r>
      <w:r>
        <w:rPr>
          <w:rFonts w:hint="eastAsia" w:ascii="仿宋_GB2312" w:hAnsi="仿宋_GB2312" w:eastAsia="仿宋_GB2312" w:cs="仿宋_GB2312"/>
          <w:color w:val="auto"/>
          <w:sz w:val="32"/>
          <w:szCs w:val="32"/>
          <w:highlight w:val="none"/>
          <w:lang w:eastAsia="zh-CN"/>
        </w:rPr>
        <w:t>抚恤（款）其他优抚支出（项）</w:t>
      </w:r>
      <w:r>
        <w:rPr>
          <w:rFonts w:hint="eastAsia" w:ascii="仿宋_GB2312" w:hAnsi="仿宋_GB2312" w:eastAsia="仿宋_GB2312" w:cs="仿宋_GB2312"/>
          <w:color w:val="auto"/>
          <w:sz w:val="32"/>
          <w:szCs w:val="32"/>
          <w:highlight w:val="none"/>
          <w:lang w:val="en-US" w:eastAsia="zh-CN"/>
        </w:rPr>
        <w:t>2022年预算数为214万元，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214万元，主要原因是工作计划调整。</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社会保障和就业支出（类）</w:t>
      </w:r>
      <w:r>
        <w:rPr>
          <w:rFonts w:hint="eastAsia" w:ascii="仿宋_GB2312" w:hAnsi="仿宋_GB2312" w:eastAsia="仿宋_GB2312" w:cs="仿宋_GB2312"/>
          <w:color w:val="auto"/>
          <w:sz w:val="32"/>
          <w:szCs w:val="32"/>
          <w:highlight w:val="none"/>
          <w:lang w:eastAsia="zh-CN"/>
        </w:rPr>
        <w:t>退役安置（款）退役士兵安置（项）</w:t>
      </w:r>
      <w:r>
        <w:rPr>
          <w:rFonts w:hint="eastAsia" w:ascii="仿宋_GB2312" w:hAnsi="仿宋_GB2312" w:eastAsia="仿宋_GB2312" w:cs="仿宋_GB2312"/>
          <w:color w:val="auto"/>
          <w:sz w:val="32"/>
          <w:szCs w:val="32"/>
          <w:highlight w:val="none"/>
          <w:lang w:val="en-US" w:eastAsia="zh-CN"/>
        </w:rPr>
        <w:t>2022年预算数为110万元，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31.8万元，</w:t>
      </w:r>
      <w:r>
        <w:rPr>
          <w:rFonts w:hint="eastAsia" w:ascii="仿宋_GB2312" w:hAnsi="仿宋_GB2312" w:eastAsia="仿宋_GB2312" w:cs="仿宋_GB2312"/>
          <w:color w:val="auto"/>
          <w:sz w:val="32"/>
          <w:szCs w:val="32"/>
          <w:highlight w:val="none"/>
          <w:lang w:eastAsia="zh-CN"/>
        </w:rPr>
        <w:t>主要原因是人员增加，退役士兵安置支出增加</w:t>
      </w:r>
      <w:r>
        <w:rPr>
          <w:rFonts w:hint="eastAsia" w:ascii="仿宋_GB2312" w:hAnsi="仿宋_GB2312" w:eastAsia="仿宋_GB2312" w:cs="仿宋_GB2312"/>
          <w:color w:val="auto"/>
          <w:sz w:val="32"/>
          <w:szCs w:val="32"/>
          <w:highlight w:val="none"/>
        </w:rPr>
        <w:t>。</w:t>
      </w:r>
    </w:p>
    <w:p>
      <w:pPr>
        <w:ind w:firstLine="640" w:firstLineChars="200"/>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.社会保障和就业支出（类）残疾人事业（款）残疾人康复（项）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.社会保障和就业支出（类）退役军人管理事务（款）行政运行（项）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136.73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1.45万元，主要原因是人员增加，义务兵优待等项目增加，日常行政运行支出增加。</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.社</w:t>
      </w:r>
      <w:r>
        <w:rPr>
          <w:rFonts w:hint="eastAsia" w:ascii="仿宋_GB2312" w:hAnsi="仿宋_GB2312" w:eastAsia="仿宋_GB2312" w:cs="仿宋_GB2312"/>
          <w:color w:val="auto"/>
          <w:sz w:val="32"/>
          <w:szCs w:val="32"/>
          <w:highlight w:val="none"/>
        </w:rPr>
        <w:t>会保障和就业支出（类）退役军人管理事务（款）一般行政管理事务（项）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105.58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25.21万元，主要原因是人员增加，行政管理支出增加。</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.社会保障和就业支出（类）退役军人管理事务（款）拥军优属（项）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193.24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9万元，主要原因是拥军优属对象减少。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.社会保障和就业支出（类）退役军人管理事务（款）事业运行（项）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10.24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10.24万元，主要原因是工作计划调整。</w:t>
      </w:r>
    </w:p>
    <w:p>
      <w:pPr>
        <w:ind w:firstLine="640" w:firstLineChars="200"/>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.社会保障和就业支出（类）退役军人管理事务（款）其他退役军人事务管理支出（项）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430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430万元，主要原因是工作计划调整。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.卫生健康支出（类）行政事业单位医疗（款）行政单位医疗（项）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7.78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1.77万元，主要原因是在编人员减少，单位医疗减少。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.卫生健康支出（类）行政事业单位医疗（款）公务员医疗补助（项）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9.29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1.94万元，主要原因是在编人员减少，</w:t>
      </w:r>
      <w:r>
        <w:rPr>
          <w:rFonts w:hint="eastAsia" w:ascii="仿宋_GB2312" w:hAnsi="仿宋_GB2312" w:eastAsia="仿宋_GB2312" w:cs="仿宋_GB2312"/>
          <w:color w:val="auto"/>
          <w:sz w:val="32"/>
          <w:szCs w:val="32"/>
          <w:highlight w:val="none"/>
        </w:rPr>
        <w:t>公务员医疗补助</w:t>
      </w:r>
      <w:r>
        <w:rPr>
          <w:rFonts w:hint="eastAsia" w:ascii="仿宋_GB2312" w:hAnsi="仿宋_GB2312" w:eastAsia="仿宋_GB2312" w:cs="仿宋_GB2312"/>
          <w:color w:val="auto"/>
          <w:sz w:val="32"/>
          <w:szCs w:val="32"/>
          <w:highlight w:val="none"/>
          <w:lang w:val="en-US" w:eastAsia="zh-CN"/>
        </w:rPr>
        <w:t>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.住房保障支出（类）住房改革支出（款）住房公积金（项）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1.33万元，主要原因是在编人员减少，</w:t>
      </w:r>
      <w:r>
        <w:rPr>
          <w:rFonts w:hint="eastAsia" w:ascii="仿宋_GB2312" w:hAnsi="仿宋_GB2312" w:eastAsia="仿宋_GB2312" w:cs="仿宋_GB2312"/>
          <w:color w:val="auto"/>
          <w:sz w:val="32"/>
          <w:szCs w:val="32"/>
          <w:highlight w:val="none"/>
          <w:lang w:eastAsia="zh-CN"/>
        </w:rPr>
        <w:t>住房公积金</w:t>
      </w:r>
      <w:r>
        <w:rPr>
          <w:rFonts w:hint="eastAsia" w:ascii="仿宋_GB2312" w:hAnsi="仿宋_GB2312" w:eastAsia="仿宋_GB2312" w:cs="仿宋_GB2312"/>
          <w:color w:val="auto"/>
          <w:sz w:val="32"/>
          <w:szCs w:val="32"/>
          <w:highlight w:val="none"/>
          <w:lang w:val="en-US" w:eastAsia="zh-CN"/>
        </w:rPr>
        <w:t>减少。</w:t>
      </w:r>
    </w:p>
    <w:p>
      <w:pPr>
        <w:ind w:firstLine="640" w:firstLineChars="200"/>
        <w:rPr>
          <w:rFonts w:hint="eastAsia" w:ascii="黑体" w:hAnsi="黑体" w:eastAsia="黑体" w:cs="黑体"/>
          <w:color w:val="auto"/>
          <w:sz w:val="32"/>
          <w:szCs w:val="32"/>
          <w:highlight w:val="none"/>
        </w:rPr>
      </w:pPr>
      <w:r>
        <w:rPr>
          <w:rFonts w:hint="default" w:ascii="Times New Roman" w:hAnsi="Times New Roman" w:eastAsia="黑体" w:cs="Times New Roman"/>
          <w:color w:val="auto"/>
          <w:sz w:val="32"/>
          <w:szCs w:val="32"/>
          <w:highlight w:val="none"/>
        </w:rPr>
        <w:t>三、关于三亚市天涯区退役军人事务局</w:t>
      </w:r>
      <w:r>
        <w:rPr>
          <w:rFonts w:hint="default" w:ascii="Times New Roman" w:hAnsi="Times New Roman" w:eastAsia="黑体" w:cs="Times New Roman"/>
          <w:color w:val="auto"/>
          <w:sz w:val="32"/>
          <w:szCs w:val="32"/>
          <w:highlight w:val="none"/>
          <w:lang w:eastAsia="zh-CN"/>
        </w:rPr>
        <w:t>部</w:t>
      </w:r>
      <w:r>
        <w:rPr>
          <w:rFonts w:hint="eastAsia" w:ascii="黑体" w:hAnsi="黑体" w:eastAsia="黑体" w:cs="黑体"/>
          <w:color w:val="auto"/>
          <w:sz w:val="32"/>
          <w:szCs w:val="32"/>
          <w:highlight w:val="none"/>
          <w:lang w:eastAsia="zh-CN"/>
        </w:rPr>
        <w:t>门202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rPr>
        <w:t>一般公共预算基本支出情况说明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一般公共预算基本支出为</w:t>
      </w:r>
      <w:r>
        <w:rPr>
          <w:rFonts w:hint="eastAsia" w:ascii="仿宋_GB2312" w:hAnsi="仿宋_GB2312" w:eastAsia="仿宋_GB2312" w:cs="仿宋_GB2312"/>
          <w:color w:val="auto"/>
          <w:sz w:val="32"/>
          <w:szCs w:val="32"/>
          <w:highlight w:val="none"/>
          <w:lang w:val="en-US" w:eastAsia="zh-CN"/>
        </w:rPr>
        <w:t>177.01</w:t>
      </w:r>
      <w:r>
        <w:rPr>
          <w:rFonts w:hint="eastAsia" w:ascii="仿宋_GB2312" w:hAnsi="仿宋_GB2312" w:eastAsia="仿宋_GB2312" w:cs="仿宋_GB2312"/>
          <w:color w:val="auto"/>
          <w:sz w:val="32"/>
          <w:szCs w:val="32"/>
          <w:highlight w:val="none"/>
        </w:rPr>
        <w:t>万元，其中：</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172.87</w:t>
      </w:r>
      <w:r>
        <w:rPr>
          <w:rFonts w:hint="eastAsia" w:ascii="仿宋_GB2312" w:hAnsi="仿宋_GB2312" w:eastAsia="仿宋_GB2312" w:cs="仿宋_GB2312"/>
          <w:color w:val="auto"/>
          <w:sz w:val="32"/>
          <w:szCs w:val="32"/>
          <w:highlight w:val="none"/>
        </w:rPr>
        <w:t>万元，主要包括：基本工资、津贴补贴、奖金、</w:t>
      </w:r>
      <w:r>
        <w:rPr>
          <w:rFonts w:hint="eastAsia" w:ascii="仿宋_GB2312" w:hAnsi="仿宋_GB2312" w:eastAsia="仿宋_GB2312" w:cs="仿宋_GB2312"/>
          <w:color w:val="auto"/>
          <w:sz w:val="32"/>
          <w:szCs w:val="32"/>
          <w:highlight w:val="none"/>
          <w:lang w:eastAsia="zh-CN"/>
        </w:rPr>
        <w:t>绩效工资、</w:t>
      </w:r>
      <w:r>
        <w:rPr>
          <w:rFonts w:hint="eastAsia" w:ascii="仿宋_GB2312" w:hAnsi="仿宋_GB2312" w:eastAsia="仿宋_GB2312" w:cs="仿宋_GB2312"/>
          <w:color w:val="auto"/>
          <w:sz w:val="32"/>
          <w:szCs w:val="32"/>
          <w:highlight w:val="none"/>
        </w:rPr>
        <w:t>机关事业单位基本养老保险缴费、</w:t>
      </w:r>
      <w:r>
        <w:rPr>
          <w:rFonts w:hint="eastAsia" w:ascii="仿宋_GB2312" w:hAnsi="仿宋_GB2312" w:eastAsia="仿宋_GB2312" w:cs="仿宋_GB2312"/>
          <w:color w:val="auto"/>
          <w:sz w:val="32"/>
          <w:szCs w:val="32"/>
          <w:highlight w:val="none"/>
          <w:lang w:eastAsia="zh-CN"/>
        </w:rPr>
        <w:t>城镇职工基本医疗保险缴费、公务员医疗补助缴费、其他社会保障缴费、住房公积金、医疗费、</w:t>
      </w:r>
      <w:r>
        <w:rPr>
          <w:rFonts w:hint="eastAsia" w:ascii="仿宋_GB2312" w:hAnsi="仿宋_GB2312" w:eastAsia="仿宋_GB2312" w:cs="仿宋_GB2312"/>
          <w:color w:val="auto"/>
          <w:sz w:val="32"/>
          <w:szCs w:val="32"/>
          <w:highlight w:val="none"/>
          <w:lang w:val="en-US" w:eastAsia="zh-CN"/>
        </w:rPr>
        <w:t>邮电费、其他交通费用、奖励金</w:t>
      </w:r>
      <w:r>
        <w:rPr>
          <w:rFonts w:hint="eastAsia" w:ascii="仿宋_GB2312" w:hAnsi="仿宋_GB2312" w:eastAsia="仿宋_GB2312" w:cs="仿宋_GB2312"/>
          <w:color w:val="auto"/>
          <w:sz w:val="32"/>
          <w:szCs w:val="32"/>
          <w:highlight w:val="none"/>
          <w:lang w:eastAsia="zh-CN"/>
        </w:rPr>
        <w:t>；</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4.14</w:t>
      </w:r>
      <w:r>
        <w:rPr>
          <w:rFonts w:hint="eastAsia" w:ascii="仿宋_GB2312" w:hAnsi="仿宋_GB2312" w:eastAsia="仿宋_GB2312" w:cs="仿宋_GB2312"/>
          <w:color w:val="auto"/>
          <w:sz w:val="32"/>
          <w:szCs w:val="32"/>
          <w:highlight w:val="none"/>
        </w:rPr>
        <w:t>万元，主要包括：办公费、</w:t>
      </w:r>
      <w:r>
        <w:rPr>
          <w:rFonts w:hint="eastAsia" w:ascii="仿宋_GB2312" w:hAnsi="仿宋_GB2312" w:eastAsia="仿宋_GB2312" w:cs="仿宋_GB2312"/>
          <w:color w:val="auto"/>
          <w:sz w:val="32"/>
          <w:szCs w:val="32"/>
          <w:highlight w:val="none"/>
          <w:lang w:eastAsia="zh-CN"/>
        </w:rPr>
        <w:t>培训费、工会经费。</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四、三亚市天涯区退役军人事务局</w:t>
      </w:r>
      <w:r>
        <w:rPr>
          <w:rFonts w:hint="default" w:ascii="Times New Roman" w:hAnsi="Times New Roman" w:eastAsia="黑体" w:cs="Times New Roman"/>
          <w:color w:val="auto"/>
          <w:sz w:val="32"/>
          <w:highlight w:val="none"/>
          <w:shd w:val="clear" w:color="auto" w:fill="FFFFFF"/>
          <w:lang w:eastAsia="zh-CN"/>
        </w:rPr>
        <w:t>部门</w:t>
      </w:r>
      <w:r>
        <w:rPr>
          <w:rFonts w:hint="eastAsia" w:ascii="黑体" w:hAnsi="黑体" w:eastAsia="黑体" w:cs="黑体"/>
          <w:color w:val="auto"/>
          <w:sz w:val="32"/>
          <w:highlight w:val="none"/>
          <w:shd w:val="clear" w:color="auto" w:fill="FFFFFF"/>
          <w:lang w:eastAsia="zh-CN"/>
        </w:rPr>
        <w:t>202</w:t>
      </w:r>
      <w:r>
        <w:rPr>
          <w:rFonts w:hint="eastAsia" w:ascii="黑体" w:hAnsi="黑体" w:eastAsia="黑体" w:cs="黑体"/>
          <w:color w:val="auto"/>
          <w:sz w:val="32"/>
          <w:highlight w:val="none"/>
          <w:shd w:val="clear" w:color="auto" w:fill="FFFFFF"/>
          <w:lang w:val="en-US" w:eastAsia="zh-CN"/>
        </w:rPr>
        <w:t>2</w:t>
      </w:r>
      <w:r>
        <w:rPr>
          <w:rFonts w:hint="default" w:ascii="Times New Roman" w:hAnsi="Times New Roman" w:eastAsia="黑体" w:cs="Times New Roman"/>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“三公”经费预算情况说明</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三亚市天涯区</w:t>
      </w:r>
      <w:r>
        <w:rPr>
          <w:rFonts w:hint="eastAsia" w:ascii="仿宋_GB2312" w:hAnsi="仿宋_GB2312" w:eastAsia="仿宋_GB2312" w:cs="仿宋_GB2312"/>
          <w:color w:val="auto"/>
          <w:sz w:val="32"/>
          <w:szCs w:val="32"/>
          <w:highlight w:val="none"/>
          <w:lang w:val="en-US" w:eastAsia="zh-CN"/>
        </w:rPr>
        <w:t>退役军人事务局部门2022</w:t>
      </w:r>
      <w:r>
        <w:rPr>
          <w:rFonts w:hint="eastAsia" w:ascii="仿宋_GB2312" w:hAnsi="黑体" w:eastAsia="仿宋_GB2312"/>
          <w:color w:val="auto"/>
          <w:sz w:val="32"/>
          <w:szCs w:val="32"/>
          <w:highlight w:val="none"/>
        </w:rPr>
        <w:t>年一般公共预算“三公”经费预算数为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p>
    <w:p>
      <w:pPr>
        <w:ind w:firstLine="630"/>
        <w:rPr>
          <w:rFonts w:hint="eastAsia" w:ascii="仿宋_GB2312" w:hAnsi="仿宋_GB2312" w:eastAsia="仿宋_GB2312" w:cs="仿宋_GB2312"/>
          <w:color w:val="auto"/>
          <w:sz w:val="32"/>
          <w:highlight w:val="none"/>
          <w:shd w:val="clear" w:color="auto" w:fill="FFFFFF"/>
          <w:lang w:eastAsia="zh-CN"/>
        </w:rPr>
      </w:pPr>
      <w:r>
        <w:rPr>
          <w:rFonts w:ascii="Times New Roman" w:hAnsi="Times New Roman" w:eastAsia="仿宋_GB2312" w:cs="Times New Roman"/>
          <w:color w:val="auto"/>
          <w:sz w:val="32"/>
          <w:highlight w:val="none"/>
          <w:shd w:val="clear" w:color="auto" w:fill="FFFFFF"/>
        </w:rPr>
        <w:t>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年预算持平。根据（如外事部门等）安排的</w:t>
      </w:r>
      <w:r>
        <w:rPr>
          <w:rFonts w:hint="eastAsia" w:ascii="仿宋_GB2312" w:hAnsi="黑体" w:eastAsia="仿宋_GB2312" w:cs="仿宋_GB2312"/>
          <w:color w:val="auto"/>
          <w:sz w:val="32"/>
          <w:szCs w:val="32"/>
          <w:highlight w:val="none"/>
          <w:lang w:val="en-US" w:eastAsia="zh-CN"/>
        </w:rPr>
        <w:t>2022</w:t>
      </w:r>
      <w:r>
        <w:rPr>
          <w:rFonts w:ascii="Times New Roman" w:hAnsi="Times New Roman" w:eastAsia="仿宋_GB2312" w:cs="Times New Roman"/>
          <w:color w:val="auto"/>
          <w:sz w:val="32"/>
          <w:highlight w:val="none"/>
          <w:shd w:val="clear" w:color="auto" w:fill="FFFFFF"/>
        </w:rPr>
        <w:t>年出国计划，拟安排出国（境）</w:t>
      </w:r>
      <w:r>
        <w:rPr>
          <w:rFonts w:hint="eastAsia" w:ascii="Times New Roman" w:hAnsi="Times New Roman" w:eastAsia="仿宋_GB2312" w:cs="Times New Roman"/>
          <w:color w:val="auto"/>
          <w:sz w:val="32"/>
          <w:highlight w:val="none"/>
          <w:shd w:val="clear" w:color="auto" w:fill="FFFFFF"/>
        </w:rPr>
        <w:t>团（</w:t>
      </w:r>
      <w:r>
        <w:rPr>
          <w:rFonts w:ascii="Times New Roman" w:hAnsi="Times New Roman" w:eastAsia="仿宋_GB2312" w:cs="Times New Roman"/>
          <w:color w:val="auto"/>
          <w:sz w:val="32"/>
          <w:highlight w:val="none"/>
          <w:shd w:val="clear" w:color="auto" w:fill="FFFFFF"/>
        </w:rPr>
        <w:t>组</w:t>
      </w:r>
      <w:r>
        <w:rPr>
          <w:rFonts w:hint="eastAsia" w:ascii="Times New Roman" w:hAnsi="Times New Roman" w:eastAsia="仿宋_GB2312" w:cs="Times New Roman"/>
          <w:color w:val="auto"/>
          <w:sz w:val="32"/>
          <w:highlight w:val="none"/>
          <w:shd w:val="clear" w:color="auto" w:fill="FFFFFF"/>
        </w:rPr>
        <w:t>）</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次，出国（境）</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人。公务用车购置及运行费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公务车保有量</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辆，计划购置</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仿宋_GB2312" w:hAnsi="黑体" w:eastAsia="仿宋_GB2312" w:cs="Times New Roman"/>
          <w:color w:val="auto"/>
          <w:sz w:val="32"/>
          <w:szCs w:val="32"/>
          <w:highlight w:val="none"/>
        </w:rPr>
        <w:t>公务接待费</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仿宋_GB2312" w:hAnsi="仿宋_GB2312" w:eastAsia="仿宋_GB2312" w:cs="仿宋_GB2312"/>
          <w:color w:val="auto"/>
          <w:sz w:val="32"/>
          <w:highlight w:val="none"/>
          <w:shd w:val="clear" w:color="auto" w:fill="FFFFFF"/>
          <w:lang w:eastAsia="zh-CN"/>
        </w:rPr>
        <w:t>，计划接待0批0人。</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三亚市天涯区退役军人事务局</w:t>
      </w:r>
      <w:r>
        <w:rPr>
          <w:rFonts w:hint="eastAsia" w:ascii="仿宋_GB2312" w:hAnsi="仿宋_GB2312" w:eastAsia="仿宋_GB2312" w:cs="仿宋_GB2312"/>
          <w:color w:val="auto"/>
          <w:sz w:val="32"/>
          <w:szCs w:val="32"/>
          <w:highlight w:val="none"/>
          <w:lang w:val="en-US" w:eastAsia="zh-CN"/>
        </w:rPr>
        <w:t>部门2022</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p>
    <w:p>
      <w:pPr>
        <w:rPr>
          <w:rFonts w:hint="eastAsia" w:ascii="Times New Roman" w:hAnsi="Times New Roman" w:eastAsia="仿宋_GB2312" w:cs="Times New Roman"/>
          <w:color w:val="auto"/>
          <w:sz w:val="32"/>
          <w:highlight w:val="none"/>
          <w:shd w:val="clear" w:color="auto" w:fill="FFFFFF"/>
          <w:lang w:val="en-US" w:eastAsia="zh-CN"/>
        </w:rPr>
      </w:pPr>
      <w:r>
        <w:rPr>
          <w:rFonts w:ascii="Times New Roman" w:hAnsi="Times New Roman" w:eastAsia="仿宋_GB2312" w:cs="Times New Roman"/>
          <w:color w:val="auto"/>
          <w:sz w:val="32"/>
          <w:highlight w:val="none"/>
          <w:shd w:val="clear" w:color="auto" w:fill="FFFFFF"/>
        </w:rPr>
        <w:t xml:space="preserve">    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ascii="Times New Roman" w:hAnsi="Times New Roman" w:eastAsia="仿宋_GB2312" w:cs="Times New Roman"/>
          <w:color w:val="auto"/>
          <w:sz w:val="32"/>
          <w:highlight w:val="none"/>
          <w:shd w:val="clear" w:color="auto" w:fill="FFFFFF"/>
        </w:rPr>
        <w:t>根据（如外事部门等）安排的</w:t>
      </w:r>
      <w:r>
        <w:rPr>
          <w:rFonts w:hint="eastAsia" w:ascii="仿宋_GB2312" w:hAnsi="黑体" w:eastAsia="仿宋_GB2312" w:cs="仿宋_GB2312"/>
          <w:color w:val="auto"/>
          <w:sz w:val="32"/>
          <w:szCs w:val="32"/>
          <w:highlight w:val="none"/>
          <w:lang w:val="en-US" w:eastAsia="zh-CN"/>
        </w:rPr>
        <w:t>2022</w:t>
      </w:r>
      <w:r>
        <w:rPr>
          <w:rFonts w:ascii="Times New Roman" w:hAnsi="Times New Roman" w:eastAsia="仿宋_GB2312" w:cs="Times New Roman"/>
          <w:color w:val="auto"/>
          <w:sz w:val="32"/>
          <w:highlight w:val="none"/>
          <w:shd w:val="clear" w:color="auto" w:fill="FFFFFF"/>
        </w:rPr>
        <w:t>年出国计划，拟安排出国（境）组</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次，出国（境）</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人。公务用车购置及运行费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公务车保有量</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辆，计划购置</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仿宋_GB2312" w:hAnsi="黑体" w:eastAsia="仿宋_GB2312" w:cs="Times New Roman"/>
          <w:color w:val="auto"/>
          <w:sz w:val="32"/>
          <w:szCs w:val="32"/>
          <w:highlight w:val="none"/>
        </w:rPr>
        <w:t>公务接待费</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仿宋_GB2312" w:hAnsi="仿宋_GB2312" w:eastAsia="仿宋_GB2312" w:cs="仿宋_GB2312"/>
          <w:color w:val="auto"/>
          <w:sz w:val="32"/>
          <w:highlight w:val="none"/>
          <w:shd w:val="clear" w:color="auto" w:fill="FFFFFF"/>
          <w:lang w:eastAsia="zh-CN"/>
        </w:rPr>
        <w:t>，计划接待0批0人。</w:t>
      </w:r>
    </w:p>
    <w:p>
      <w:pPr>
        <w:ind w:firstLine="640" w:firstLineChars="200"/>
        <w:rPr>
          <w:rFonts w:hint="eastAsia" w:ascii="黑体" w:hAnsi="黑体" w:eastAsia="黑体" w:cs="黑体"/>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五、关于三亚市天涯区退役军人事务局</w:t>
      </w:r>
      <w:r>
        <w:rPr>
          <w:rFonts w:hint="default" w:ascii="Times New Roman" w:hAnsi="Times New Roman" w:eastAsia="黑体" w:cs="Times New Roman"/>
          <w:color w:val="auto"/>
          <w:sz w:val="32"/>
          <w:highlight w:val="none"/>
          <w:shd w:val="clear" w:color="auto" w:fill="FFFFFF"/>
          <w:lang w:eastAsia="zh-CN"/>
        </w:rPr>
        <w:t>部门</w:t>
      </w:r>
      <w:r>
        <w:rPr>
          <w:rFonts w:hint="eastAsia" w:ascii="黑体" w:hAnsi="黑体" w:eastAsia="黑体" w:cs="黑体"/>
          <w:color w:val="auto"/>
          <w:sz w:val="32"/>
          <w:highlight w:val="none"/>
          <w:shd w:val="clear" w:color="auto" w:fill="FFFFFF"/>
          <w:lang w:eastAsia="zh-CN"/>
        </w:rPr>
        <w:t>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eastAsia" w:ascii="黑体" w:hAnsi="黑体" w:eastAsia="黑体" w:cs="黑体"/>
          <w:color w:val="auto"/>
          <w:sz w:val="32"/>
          <w:highlight w:val="none"/>
          <w:shd w:val="clear" w:color="auto" w:fill="FFFFFF"/>
        </w:rPr>
        <w:t>政府性基金预算当年拨款情况说明</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（一）政府性基金预算当年规模变化情况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numPr>
          <w:ilvl w:val="0"/>
          <w:numId w:val="7"/>
        </w:num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政府性基金预算当年拨款结构情况</w:t>
      </w:r>
    </w:p>
    <w:p>
      <w:pPr>
        <w:numPr>
          <w:ilvl w:val="0"/>
          <w:numId w:val="0"/>
        </w:numPr>
        <w:ind w:firstLine="640" w:firstLineChars="200"/>
        <w:rPr>
          <w:rFonts w:hint="default" w:ascii="Times New Roman" w:hAnsi="Times New Roman" w:eastAsia="楷体" w:cs="Times New Roman"/>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numPr>
          <w:ilvl w:val="0"/>
          <w:numId w:val="7"/>
        </w:numPr>
        <w:ind w:left="0" w:leftChars="0"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政府性基金预算当年拨款具体使用情况</w:t>
      </w:r>
    </w:p>
    <w:p>
      <w:pPr>
        <w:numPr>
          <w:ilvl w:val="0"/>
          <w:numId w:val="0"/>
        </w:numPr>
        <w:ind w:leftChars="200" w:firstLine="640" w:firstLineChars="200"/>
        <w:rPr>
          <w:rFonts w:hint="default" w:ascii="Times New Roman" w:hAnsi="Times New Roman" w:eastAsia="楷体" w:cs="Times New Roman"/>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六、关于</w:t>
      </w:r>
      <w:r>
        <w:rPr>
          <w:rFonts w:hint="default" w:ascii="Times New Roman" w:hAnsi="Times New Roman" w:eastAsia="黑体" w:cs="Times New Roman"/>
          <w:color w:val="auto"/>
          <w:sz w:val="32"/>
          <w:highlight w:val="none"/>
          <w:shd w:val="clear" w:color="auto" w:fill="FFFFFF"/>
          <w:lang w:val="zh-CN"/>
        </w:rPr>
        <w:t>三亚市天涯区退役军人事务局部门</w:t>
      </w:r>
      <w:r>
        <w:rPr>
          <w:rFonts w:hint="eastAsia" w:ascii="黑体" w:hAnsi="黑体" w:eastAsia="黑体" w:cs="黑体"/>
          <w:color w:val="auto"/>
          <w:sz w:val="32"/>
          <w:highlight w:val="none"/>
          <w:shd w:val="clear" w:color="auto" w:fill="FFFFFF"/>
          <w:lang w:eastAsia="zh-CN"/>
        </w:rPr>
        <w:t>202</w:t>
      </w:r>
      <w:r>
        <w:rPr>
          <w:rFonts w:hint="eastAsia" w:ascii="黑体" w:hAnsi="黑体" w:eastAsia="黑体" w:cs="黑体"/>
          <w:color w:val="auto"/>
          <w:sz w:val="32"/>
          <w:highlight w:val="none"/>
          <w:shd w:val="clear" w:color="auto" w:fill="FFFFFF"/>
          <w:lang w:val="en-US" w:eastAsia="zh-CN"/>
        </w:rPr>
        <w:t>2</w:t>
      </w:r>
      <w:r>
        <w:rPr>
          <w:rFonts w:hint="default" w:ascii="Times New Roman" w:hAnsi="Times New Roman" w:eastAsia="黑体" w:cs="Times New Roman"/>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收支预算情况的总体说明</w:t>
      </w:r>
    </w:p>
    <w:p>
      <w:pPr>
        <w:ind w:firstLine="640" w:firstLineChars="200"/>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按照综合预算原则，三亚市天涯区退役军人事务局</w:t>
      </w:r>
      <w:r>
        <w:rPr>
          <w:rFonts w:hint="default" w:ascii="Times New Roman" w:hAnsi="Times New Roman" w:eastAsia="仿宋_GB2312" w:cs="Times New Roman"/>
          <w:color w:val="auto"/>
          <w:sz w:val="32"/>
          <w:szCs w:val="32"/>
          <w:highlight w:val="none"/>
          <w:lang w:eastAsia="zh-CN"/>
        </w:rPr>
        <w:t>部门</w:t>
      </w:r>
      <w:r>
        <w:rPr>
          <w:rFonts w:hint="default" w:ascii="Times New Roman" w:hAnsi="Times New Roman" w:eastAsia="仿宋_GB2312" w:cs="Times New Roman"/>
          <w:color w:val="auto"/>
          <w:sz w:val="32"/>
          <w:szCs w:val="32"/>
          <w:highlight w:val="none"/>
        </w:rPr>
        <w:t>所有收入和支出均纳入部门预算管理。收入包括：一般预算收入</w:t>
      </w:r>
      <w:r>
        <w:rPr>
          <w:rFonts w:hint="default" w:ascii="Times New Roman" w:hAnsi="Times New Roman" w:eastAsia="仿宋_GB2312" w:cs="Times New Roman"/>
          <w:color w:val="auto"/>
          <w:sz w:val="32"/>
          <w:szCs w:val="32"/>
          <w:highlight w:val="none"/>
          <w:lang w:eastAsia="zh-CN"/>
        </w:rPr>
        <w:t>、上年结转</w:t>
      </w:r>
      <w:r>
        <w:rPr>
          <w:rFonts w:hint="default" w:ascii="Times New Roman" w:hAnsi="Times New Roman" w:eastAsia="仿宋_GB2312" w:cs="Times New Roman"/>
          <w:color w:val="auto"/>
          <w:sz w:val="32"/>
          <w:szCs w:val="32"/>
          <w:highlight w:val="none"/>
        </w:rPr>
        <w:t>；支出包括：社会保障和就业支出、</w:t>
      </w:r>
      <w:r>
        <w:rPr>
          <w:rFonts w:hint="default" w:ascii="Times New Roman" w:hAnsi="Times New Roman" w:eastAsia="仿宋_GB2312" w:cs="Times New Roman"/>
          <w:color w:val="auto"/>
          <w:sz w:val="32"/>
          <w:szCs w:val="32"/>
          <w:highlight w:val="none"/>
          <w:lang w:eastAsia="zh-CN"/>
        </w:rPr>
        <w:t>卫生健康支出</w:t>
      </w:r>
      <w:r>
        <w:rPr>
          <w:rFonts w:hint="default" w:ascii="Times New Roman" w:hAnsi="Times New Roman" w:eastAsia="仿宋_GB2312" w:cs="Times New Roman"/>
          <w:color w:val="auto"/>
          <w:sz w:val="32"/>
          <w:szCs w:val="32"/>
          <w:highlight w:val="none"/>
        </w:rPr>
        <w:t>、住房保障支出。三亚市天涯区退役军人事务局</w:t>
      </w:r>
      <w:r>
        <w:rPr>
          <w:rFonts w:hint="default" w:ascii="Times New Roman" w:hAnsi="Times New Roman" w:eastAsia="仿宋_GB2312" w:cs="Times New Roman"/>
          <w:color w:val="auto"/>
          <w:sz w:val="32"/>
          <w:szCs w:val="32"/>
          <w:highlight w:val="none"/>
          <w:lang w:eastAsia="zh-CN"/>
        </w:rPr>
        <w:t>部门</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收支总预算</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七、关于三亚市天涯区退役军人事务局</w:t>
      </w:r>
      <w:r>
        <w:rPr>
          <w:rFonts w:hint="default" w:ascii="Times New Roman" w:hAnsi="Times New Roman" w:eastAsia="黑体" w:cs="Times New Roman"/>
          <w:color w:val="auto"/>
          <w:sz w:val="32"/>
          <w:highlight w:val="none"/>
          <w:shd w:val="clear" w:color="auto" w:fill="FFFFFF"/>
          <w:lang w:eastAsia="zh-CN"/>
        </w:rPr>
        <w:t>部</w:t>
      </w:r>
      <w:r>
        <w:rPr>
          <w:rFonts w:hint="eastAsia" w:ascii="黑体" w:hAnsi="黑体" w:eastAsia="黑体" w:cs="黑体"/>
          <w:color w:val="auto"/>
          <w:sz w:val="32"/>
          <w:highlight w:val="none"/>
          <w:shd w:val="clear" w:color="auto" w:fill="FFFFFF"/>
          <w:lang w:eastAsia="zh-CN"/>
        </w:rPr>
        <w:t>门202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收入预算情况说明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收入预算</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万元，其中：上年结转</w:t>
      </w:r>
      <w:r>
        <w:rPr>
          <w:rFonts w:hint="eastAsia" w:ascii="仿宋_GB2312" w:hAnsi="仿宋_GB2312" w:eastAsia="仿宋_GB2312" w:cs="仿宋_GB2312"/>
          <w:color w:val="auto"/>
          <w:sz w:val="32"/>
          <w:szCs w:val="32"/>
          <w:highlight w:val="none"/>
          <w:lang w:val="en-US" w:eastAsia="zh-CN"/>
        </w:rPr>
        <w:t>20.93</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1.66</w:t>
      </w:r>
      <w:r>
        <w:rPr>
          <w:rFonts w:hint="eastAsia" w:ascii="仿宋_GB2312" w:hAnsi="仿宋_GB2312" w:eastAsia="仿宋_GB2312" w:cs="仿宋_GB2312"/>
          <w:color w:val="auto"/>
          <w:sz w:val="32"/>
          <w:szCs w:val="32"/>
          <w:highlight w:val="none"/>
        </w:rPr>
        <w:t>%；一般</w:t>
      </w:r>
      <w:r>
        <w:rPr>
          <w:rFonts w:hint="eastAsia" w:ascii="仿宋_GB2312" w:hAnsi="仿宋_GB2312" w:eastAsia="仿宋_GB2312" w:cs="仿宋_GB2312"/>
          <w:color w:val="auto"/>
          <w:sz w:val="32"/>
          <w:szCs w:val="32"/>
          <w:highlight w:val="none"/>
          <w:lang w:eastAsia="zh-CN"/>
        </w:rPr>
        <w:t>公共</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拨款</w:t>
      </w:r>
      <w:r>
        <w:rPr>
          <w:rFonts w:hint="eastAsia"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lang w:val="en-US" w:eastAsia="zh-CN"/>
        </w:rPr>
        <w:t>1239.07</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98.3</w:t>
      </w:r>
      <w:r>
        <w:rPr>
          <w:rFonts w:hint="eastAsia" w:ascii="仿宋_GB2312" w:hAnsi="仿宋_GB2312" w:eastAsia="仿宋_GB2312" w:cs="仿宋_GB2312"/>
          <w:color w:val="auto"/>
          <w:sz w:val="32"/>
          <w:szCs w:val="32"/>
          <w:highlight w:val="none"/>
        </w:rPr>
        <w:t>%；政府性基金收入0万元，占0%；专项收入0万元，占0%。比上年预算数增加</w:t>
      </w:r>
      <w:r>
        <w:rPr>
          <w:rFonts w:hint="eastAsia" w:ascii="仿宋_GB2312" w:hAnsi="仿宋_GB2312" w:eastAsia="仿宋_GB2312" w:cs="仿宋_GB2312"/>
          <w:color w:val="auto"/>
          <w:sz w:val="32"/>
          <w:szCs w:val="32"/>
          <w:highlight w:val="none"/>
          <w:lang w:val="en-US" w:eastAsia="zh-CN"/>
        </w:rPr>
        <w:t>540.87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主要是上年结转以及</w:t>
      </w:r>
      <w:r>
        <w:rPr>
          <w:rFonts w:hint="eastAsia" w:ascii="仿宋_GB2312" w:hAnsi="仿宋_GB2312" w:eastAsia="仿宋_GB2312" w:cs="仿宋_GB2312"/>
          <w:color w:val="auto"/>
          <w:sz w:val="32"/>
          <w:szCs w:val="32"/>
          <w:highlight w:val="none"/>
        </w:rPr>
        <w:t>一般</w:t>
      </w:r>
      <w:r>
        <w:rPr>
          <w:rFonts w:hint="eastAsia" w:ascii="仿宋_GB2312" w:hAnsi="仿宋_GB2312" w:eastAsia="仿宋_GB2312" w:cs="仿宋_GB2312"/>
          <w:color w:val="auto"/>
          <w:sz w:val="32"/>
          <w:szCs w:val="32"/>
          <w:highlight w:val="none"/>
          <w:lang w:eastAsia="zh-CN"/>
        </w:rPr>
        <w:t>公共</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拨款</w:t>
      </w:r>
      <w:r>
        <w:rPr>
          <w:rFonts w:hint="eastAsia"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lang w:eastAsia="zh-CN"/>
        </w:rPr>
        <w:t>增加。</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八、关于三亚市天涯区退役军人事务局</w:t>
      </w:r>
      <w:r>
        <w:rPr>
          <w:rFonts w:hint="default" w:ascii="Times New Roman" w:hAnsi="Times New Roman" w:eastAsia="黑体" w:cs="Times New Roman"/>
          <w:color w:val="auto"/>
          <w:sz w:val="32"/>
          <w:highlight w:val="none"/>
          <w:shd w:val="clear" w:color="auto" w:fill="FFFFFF"/>
          <w:lang w:eastAsia="zh-CN"/>
        </w:rPr>
        <w:t>部门</w:t>
      </w:r>
      <w:r>
        <w:rPr>
          <w:rFonts w:hint="eastAsia" w:ascii="黑体" w:hAnsi="黑体" w:eastAsia="黑体" w:cs="黑体"/>
          <w:color w:val="auto"/>
          <w:sz w:val="32"/>
          <w:highlight w:val="none"/>
          <w:shd w:val="clear" w:color="auto" w:fill="FFFFFF"/>
          <w:lang w:eastAsia="zh-CN"/>
        </w:rPr>
        <w:t>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支出预算情况说明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支出预算</w:t>
      </w:r>
      <w:r>
        <w:rPr>
          <w:rFonts w:hint="eastAsia" w:ascii="仿宋_GB2312" w:hAnsi="仿宋_GB2312" w:eastAsia="仿宋_GB2312" w:cs="仿宋_GB2312"/>
          <w:color w:val="auto"/>
          <w:sz w:val="32"/>
          <w:szCs w:val="32"/>
          <w:highlight w:val="none"/>
          <w:lang w:val="en-US" w:eastAsia="zh-CN"/>
        </w:rPr>
        <w:t>1260</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177.01</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14.05</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1082.99</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85.95</w:t>
      </w:r>
      <w:r>
        <w:rPr>
          <w:rFonts w:hint="eastAsia" w:ascii="仿宋_GB2312" w:hAnsi="仿宋_GB2312" w:eastAsia="仿宋_GB2312" w:cs="仿宋_GB2312"/>
          <w:color w:val="auto"/>
          <w:sz w:val="32"/>
          <w:szCs w:val="32"/>
          <w:highlight w:val="none"/>
        </w:rPr>
        <w:t>%。比上年预算数增加</w:t>
      </w:r>
      <w:r>
        <w:rPr>
          <w:rFonts w:hint="eastAsia" w:ascii="仿宋_GB2312" w:hAnsi="仿宋_GB2312" w:eastAsia="仿宋_GB2312" w:cs="仿宋_GB2312"/>
          <w:color w:val="auto"/>
          <w:sz w:val="32"/>
          <w:szCs w:val="32"/>
          <w:highlight w:val="none"/>
          <w:lang w:val="en-US" w:eastAsia="zh-CN"/>
        </w:rPr>
        <w:t>540.87</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在编人员增加，人员经费增加。</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（一）机关运行经费（行政单位、参照公务员法管理的事业单位需说明，其他单位不需要说明）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w:t>
      </w:r>
      <w:r>
        <w:rPr>
          <w:rFonts w:hint="eastAsia" w:ascii="仿宋_GB2312" w:hAnsi="仿宋_GB2312" w:eastAsia="仿宋_GB2312" w:cs="仿宋_GB2312"/>
          <w:color w:val="auto"/>
          <w:sz w:val="32"/>
          <w:szCs w:val="32"/>
          <w:highlight w:val="none"/>
        </w:rPr>
        <w:t>的机关运行经费预算</w:t>
      </w:r>
      <w:r>
        <w:rPr>
          <w:rFonts w:hint="eastAsia" w:ascii="仿宋_GB2312" w:hAnsi="仿宋_GB2312" w:eastAsia="仿宋_GB2312" w:cs="仿宋_GB2312"/>
          <w:color w:val="auto"/>
          <w:sz w:val="32"/>
          <w:szCs w:val="32"/>
          <w:highlight w:val="none"/>
          <w:lang w:val="en-US" w:eastAsia="zh-CN"/>
        </w:rPr>
        <w:t>12.94万</w:t>
      </w:r>
      <w:r>
        <w:rPr>
          <w:rFonts w:hint="eastAsia" w:ascii="仿宋_GB2312" w:hAnsi="仿宋_GB2312" w:eastAsia="仿宋_GB2312" w:cs="仿宋_GB2312"/>
          <w:color w:val="auto"/>
          <w:sz w:val="32"/>
          <w:szCs w:val="32"/>
          <w:highlight w:val="none"/>
        </w:rPr>
        <w:t>元。</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（二）政府采购情况</w:t>
      </w:r>
    </w:p>
    <w:p>
      <w:pPr>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w:t>
      </w:r>
      <w:r>
        <w:rPr>
          <w:rFonts w:hint="eastAsia" w:ascii="仿宋_GB2312" w:hAnsi="仿宋_GB2312" w:eastAsia="仿宋_GB2312" w:cs="仿宋_GB2312"/>
          <w:color w:val="auto"/>
          <w:sz w:val="32"/>
          <w:szCs w:val="32"/>
          <w:highlight w:val="none"/>
        </w:rPr>
        <w:t>政府采购预算总额</w:t>
      </w:r>
      <w:r>
        <w:rPr>
          <w:rFonts w:hint="eastAsia" w:ascii="仿宋_GB2312" w:hAnsi="仿宋_GB2312" w:eastAsia="仿宋_GB2312" w:cs="仿宋_GB2312"/>
          <w:color w:val="auto"/>
          <w:sz w:val="32"/>
          <w:szCs w:val="32"/>
          <w:highlight w:val="none"/>
          <w:lang w:val="en-US" w:eastAsia="zh-CN"/>
        </w:rPr>
        <w:t>201.24</w:t>
      </w:r>
      <w:r>
        <w:rPr>
          <w:rFonts w:hint="eastAsia" w:ascii="仿宋_GB2312" w:hAnsi="仿宋_GB2312" w:eastAsia="仿宋_GB2312" w:cs="仿宋_GB2312"/>
          <w:color w:val="auto"/>
          <w:sz w:val="32"/>
          <w:szCs w:val="32"/>
          <w:highlight w:val="none"/>
        </w:rPr>
        <w:t>万元，其中：政府采购货物预算</w:t>
      </w:r>
      <w:r>
        <w:rPr>
          <w:rFonts w:hint="eastAsia" w:ascii="仿宋_GB2312" w:hAnsi="仿宋_GB2312" w:eastAsia="仿宋_GB2312" w:cs="仿宋_GB2312"/>
          <w:color w:val="auto"/>
          <w:sz w:val="32"/>
          <w:szCs w:val="32"/>
          <w:highlight w:val="none"/>
          <w:lang w:val="en-US" w:eastAsia="zh-CN"/>
        </w:rPr>
        <w:t>3.24</w:t>
      </w:r>
      <w:r>
        <w:rPr>
          <w:rFonts w:hint="eastAsia" w:ascii="仿宋_GB2312" w:hAnsi="仿宋_GB2312" w:eastAsia="仿宋_GB2312" w:cs="仿宋_GB2312"/>
          <w:color w:val="auto"/>
          <w:sz w:val="32"/>
          <w:szCs w:val="32"/>
          <w:highlight w:val="none"/>
        </w:rPr>
        <w:t>万元，政府采购工程预算0万元，政府采购服务预算</w:t>
      </w:r>
      <w:r>
        <w:rPr>
          <w:rFonts w:hint="eastAsia" w:ascii="仿宋_GB2312" w:hAnsi="仿宋_GB2312" w:eastAsia="仿宋_GB2312" w:cs="仿宋_GB2312"/>
          <w:color w:val="auto"/>
          <w:sz w:val="32"/>
          <w:szCs w:val="32"/>
          <w:highlight w:val="none"/>
          <w:lang w:val="en-US" w:eastAsia="zh-CN"/>
        </w:rPr>
        <w:t>198</w:t>
      </w:r>
      <w:r>
        <w:rPr>
          <w:rFonts w:hint="eastAsia" w:ascii="仿宋_GB2312" w:hAnsi="仿宋_GB2312" w:eastAsia="仿宋_GB2312" w:cs="仿宋_GB2312"/>
          <w:color w:val="auto"/>
          <w:sz w:val="32"/>
          <w:szCs w:val="32"/>
          <w:highlight w:val="none"/>
        </w:rPr>
        <w:t>万元。</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（三）国有资产占有使用情况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年12月31日，</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（四）绩效目标设置情况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部门</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个项目实行绩效目标管理，涉及一般公共预算</w:t>
      </w:r>
      <w:r>
        <w:rPr>
          <w:rFonts w:hint="eastAsia" w:ascii="仿宋_GB2312" w:hAnsi="仿宋_GB2312" w:eastAsia="仿宋_GB2312" w:cs="仿宋_GB2312"/>
          <w:color w:val="auto"/>
          <w:sz w:val="32"/>
          <w:szCs w:val="32"/>
          <w:highlight w:val="none"/>
          <w:lang w:val="en-US" w:eastAsia="zh-CN"/>
        </w:rPr>
        <w:t>1239.07</w:t>
      </w:r>
      <w:r>
        <w:rPr>
          <w:rFonts w:hint="eastAsia" w:ascii="仿宋_GB2312" w:hAnsi="仿宋_GB2312" w:eastAsia="仿宋_GB2312" w:cs="仿宋_GB2312"/>
          <w:color w:val="auto"/>
          <w:sz w:val="32"/>
          <w:szCs w:val="32"/>
          <w:highlight w:val="none"/>
        </w:rPr>
        <w:t>万元。</w:t>
      </w:r>
    </w:p>
    <w:p>
      <w:pPr>
        <w:ind w:firstLine="640" w:firstLineChars="200"/>
        <w:rPr>
          <w:rFonts w:ascii="仿宋_GB2312" w:hAnsi="黑体" w:eastAsia="仿宋_GB2312"/>
          <w:color w:val="auto"/>
          <w:sz w:val="32"/>
          <w:szCs w:val="32"/>
          <w:highlight w:val="none"/>
        </w:rPr>
      </w:pPr>
    </w:p>
    <w:p>
      <w:pPr>
        <w:jc w:val="center"/>
        <w:rPr>
          <w:rFonts w:ascii="黑体" w:hAnsi="黑体" w:eastAsia="黑体"/>
          <w:color w:val="auto"/>
          <w:sz w:val="32"/>
          <w:szCs w:val="32"/>
          <w:highlight w:val="none"/>
        </w:rPr>
      </w:pPr>
    </w:p>
    <w:p>
      <w:pPr>
        <w:jc w:val="left"/>
        <w:rPr>
          <w:rFonts w:ascii="仿宋_GB2312" w:hAnsi="宋体" w:eastAsia="仿宋_GB2312" w:cs="宋体"/>
          <w:color w:val="auto"/>
          <w:kern w:val="0"/>
          <w:sz w:val="32"/>
          <w:szCs w:val="30"/>
          <w:highlight w:val="none"/>
        </w:rPr>
      </w:pPr>
    </w:p>
    <w:p>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第四部分  名词解释</w:t>
      </w:r>
    </w:p>
    <w:p>
      <w:pPr>
        <w:ind w:firstLine="640" w:firstLineChars="200"/>
        <w:jc w:val="left"/>
        <w:rPr>
          <w:rFonts w:ascii="仿宋_GB2312" w:hAnsi="宋体" w:eastAsia="仿宋_GB2312" w:cs="宋体"/>
          <w:color w:val="auto"/>
          <w:kern w:val="0"/>
          <w:sz w:val="32"/>
          <w:szCs w:val="32"/>
          <w:highlight w:val="none"/>
        </w:rPr>
      </w:pP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一、一般公共预算收入：</w:t>
      </w:r>
      <w:r>
        <w:rPr>
          <w:rFonts w:hint="eastAsia" w:ascii="仿宋_GB2312" w:eastAsia="仿宋_GB2312" w:cs="宋体"/>
          <w:bCs/>
          <w:color w:val="auto"/>
          <w:kern w:val="0"/>
          <w:sz w:val="32"/>
          <w:szCs w:val="32"/>
          <w:highlight w:val="none"/>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二、政府性基金收入：</w:t>
      </w:r>
      <w:r>
        <w:rPr>
          <w:rFonts w:hint="eastAsia" w:ascii="仿宋_GB2312" w:eastAsia="仿宋_GB2312" w:cs="宋体"/>
          <w:bCs/>
          <w:color w:val="auto"/>
          <w:kern w:val="0"/>
          <w:sz w:val="32"/>
          <w:szCs w:val="32"/>
          <w:highlight w:val="none"/>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三、其他财政资金收入：</w:t>
      </w:r>
      <w:r>
        <w:rPr>
          <w:rFonts w:hint="eastAsia" w:ascii="仿宋_GB2312" w:eastAsia="仿宋_GB2312" w:cs="宋体"/>
          <w:bCs/>
          <w:color w:val="auto"/>
          <w:kern w:val="0"/>
          <w:sz w:val="32"/>
          <w:szCs w:val="32"/>
          <w:highlight w:val="none"/>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四、收回存量资金收入：</w:t>
      </w:r>
      <w:r>
        <w:rPr>
          <w:rFonts w:hint="eastAsia" w:ascii="仿宋_GB2312" w:eastAsia="仿宋_GB2312" w:cs="宋体"/>
          <w:bCs/>
          <w:color w:val="auto"/>
          <w:kern w:val="0"/>
          <w:sz w:val="32"/>
          <w:szCs w:val="32"/>
          <w:highlight w:val="none"/>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highlight w:val="none"/>
          <w:lang w:val="zh-CN"/>
        </w:rPr>
        <w:t>。</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五、事业收入：</w:t>
      </w:r>
      <w:r>
        <w:rPr>
          <w:rFonts w:hint="eastAsia" w:ascii="仿宋_GB2312" w:eastAsia="仿宋_GB2312" w:cs="宋体"/>
          <w:bCs/>
          <w:color w:val="auto"/>
          <w:kern w:val="0"/>
          <w:sz w:val="32"/>
          <w:szCs w:val="32"/>
          <w:highlight w:val="none"/>
          <w:lang w:val="zh-CN"/>
        </w:rPr>
        <w:t>指用于反映事业单位开展专业业务活动及辅助活动所取得的收入。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六、</w:t>
      </w:r>
      <w:r>
        <w:rPr>
          <w:rFonts w:hint="eastAsia" w:ascii="仿宋_GB2312" w:eastAsia="仿宋_GB2312"/>
          <w:color w:val="auto"/>
          <w:sz w:val="32"/>
          <w:szCs w:val="32"/>
          <w:highlight w:val="none"/>
        </w:rPr>
        <w:t>事业单位经营收入</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七、其他收入：</w:t>
      </w:r>
      <w:r>
        <w:rPr>
          <w:rFonts w:hint="eastAsia" w:ascii="仿宋_GB2312" w:eastAsia="仿宋_GB2312" w:cs="宋体"/>
          <w:bCs/>
          <w:color w:val="auto"/>
          <w:kern w:val="0"/>
          <w:sz w:val="32"/>
          <w:szCs w:val="32"/>
          <w:highlight w:val="none"/>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八、</w:t>
      </w:r>
      <w:r>
        <w:rPr>
          <w:rFonts w:hint="eastAsia" w:ascii="仿宋_GB2312" w:eastAsia="仿宋_GB2312"/>
          <w:color w:val="auto"/>
          <w:sz w:val="32"/>
          <w:szCs w:val="32"/>
          <w:highlight w:val="none"/>
        </w:rPr>
        <w:t>用事业基金弥补收支差额</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九、</w:t>
      </w:r>
      <w:r>
        <w:rPr>
          <w:rFonts w:hint="eastAsia" w:ascii="仿宋_GB2312" w:eastAsia="仿宋_GB2312"/>
          <w:color w:val="auto"/>
          <w:sz w:val="32"/>
          <w:szCs w:val="32"/>
          <w:highlight w:val="none"/>
        </w:rPr>
        <w:t>上年结转结余收入</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黑体" w:eastAsia="仿宋_GB2312" w:cs="仿宋_GB2312"/>
          <w:color w:val="auto"/>
          <w:sz w:val="32"/>
          <w:szCs w:val="32"/>
          <w:highlight w:val="none"/>
        </w:rPr>
        <w:t>十</w:t>
      </w:r>
      <w:r>
        <w:rPr>
          <w:rFonts w:hint="eastAsia" w:ascii="仿宋_GB2312" w:hAnsi="宋体" w:eastAsia="仿宋_GB2312" w:cs="宋体"/>
          <w:color w:val="auto"/>
          <w:kern w:val="0"/>
          <w:sz w:val="32"/>
          <w:szCs w:val="30"/>
          <w:highlight w:val="none"/>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十五、机关运行经费：包括办公及印刷费、邮电费、差旅费、会议费、日常维修费、专用材料及一般设备购置费、办公用房水电费、办公用房取暖费、办公用房物业管理费、公务用车运行维护费以及其他费用。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color w:val="auto"/>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BC843A"/>
    <w:multiLevelType w:val="singleLevel"/>
    <w:tmpl w:val="C2BC843A"/>
    <w:lvl w:ilvl="0" w:tentative="0">
      <w:start w:val="2"/>
      <w:numFmt w:val="chineseCounting"/>
      <w:suff w:val="nothing"/>
      <w:lvlText w:val="（%1）"/>
      <w:lvlJc w:val="left"/>
      <w:rPr>
        <w:rFonts w:hint="eastAsia"/>
      </w:rPr>
    </w:lvl>
  </w:abstractNum>
  <w:abstractNum w:abstractNumId="1">
    <w:nsid w:val="0040F4EF"/>
    <w:multiLevelType w:val="singleLevel"/>
    <w:tmpl w:val="0040F4EF"/>
    <w:lvl w:ilvl="0" w:tentative="0">
      <w:start w:val="1"/>
      <w:numFmt w:val="decimal"/>
      <w:suff w:val="nothing"/>
      <w:lvlText w:val="%1、"/>
      <w:lvlJc w:val="left"/>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lZTBiMDgzYzY3ZTAwYTVhMmY4Y2VjNzFkMTFjZGEifQ=="/>
  </w:docVars>
  <w:rsids>
    <w:rsidRoot w:val="00172A27"/>
    <w:rsid w:val="00002A5F"/>
    <w:rsid w:val="00003088"/>
    <w:rsid w:val="000366A9"/>
    <w:rsid w:val="00045F67"/>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13969E9"/>
    <w:rsid w:val="06CD1FC3"/>
    <w:rsid w:val="084E5E3D"/>
    <w:rsid w:val="09B11BD0"/>
    <w:rsid w:val="0D7C5CF5"/>
    <w:rsid w:val="0F894B3D"/>
    <w:rsid w:val="0FFA0F3D"/>
    <w:rsid w:val="102C5131"/>
    <w:rsid w:val="10FF0977"/>
    <w:rsid w:val="13585039"/>
    <w:rsid w:val="16692E10"/>
    <w:rsid w:val="183337A9"/>
    <w:rsid w:val="18B474E9"/>
    <w:rsid w:val="18F47167"/>
    <w:rsid w:val="194F6380"/>
    <w:rsid w:val="1A2C0121"/>
    <w:rsid w:val="1B42717F"/>
    <w:rsid w:val="1BB815FC"/>
    <w:rsid w:val="1BE82013"/>
    <w:rsid w:val="1D862A80"/>
    <w:rsid w:val="1F012811"/>
    <w:rsid w:val="2045614C"/>
    <w:rsid w:val="206B172D"/>
    <w:rsid w:val="21A11FB0"/>
    <w:rsid w:val="23853A73"/>
    <w:rsid w:val="24371FF7"/>
    <w:rsid w:val="25AE45A2"/>
    <w:rsid w:val="26797620"/>
    <w:rsid w:val="28982547"/>
    <w:rsid w:val="28AC67FD"/>
    <w:rsid w:val="2B666BA4"/>
    <w:rsid w:val="304E0D04"/>
    <w:rsid w:val="30615464"/>
    <w:rsid w:val="324F37E8"/>
    <w:rsid w:val="36D5056C"/>
    <w:rsid w:val="39EC603D"/>
    <w:rsid w:val="3BE64C6C"/>
    <w:rsid w:val="3C1668F2"/>
    <w:rsid w:val="3CF76946"/>
    <w:rsid w:val="3D280063"/>
    <w:rsid w:val="3E65443B"/>
    <w:rsid w:val="3E9017AE"/>
    <w:rsid w:val="3F4F7572"/>
    <w:rsid w:val="412B5DAE"/>
    <w:rsid w:val="41D52823"/>
    <w:rsid w:val="43072E4A"/>
    <w:rsid w:val="44F928FA"/>
    <w:rsid w:val="45D47C15"/>
    <w:rsid w:val="47A67DBA"/>
    <w:rsid w:val="47B235E4"/>
    <w:rsid w:val="488439F4"/>
    <w:rsid w:val="497E57F5"/>
    <w:rsid w:val="4A2015E5"/>
    <w:rsid w:val="4B6B7699"/>
    <w:rsid w:val="4B972BCA"/>
    <w:rsid w:val="4D4F3778"/>
    <w:rsid w:val="5365779E"/>
    <w:rsid w:val="557F7CC4"/>
    <w:rsid w:val="57662666"/>
    <w:rsid w:val="5A7811E0"/>
    <w:rsid w:val="5DA475D0"/>
    <w:rsid w:val="5E823649"/>
    <w:rsid w:val="5E8A1DC1"/>
    <w:rsid w:val="605A2227"/>
    <w:rsid w:val="61364853"/>
    <w:rsid w:val="61530042"/>
    <w:rsid w:val="62415240"/>
    <w:rsid w:val="62A7660F"/>
    <w:rsid w:val="62F25F75"/>
    <w:rsid w:val="65791B12"/>
    <w:rsid w:val="67FA39A4"/>
    <w:rsid w:val="687C4366"/>
    <w:rsid w:val="69FC3F22"/>
    <w:rsid w:val="6AE57D70"/>
    <w:rsid w:val="6B4A4FAD"/>
    <w:rsid w:val="6DAA6E76"/>
    <w:rsid w:val="6E5E156F"/>
    <w:rsid w:val="701C4DFE"/>
    <w:rsid w:val="7034247A"/>
    <w:rsid w:val="72664408"/>
    <w:rsid w:val="73132670"/>
    <w:rsid w:val="74034AEB"/>
    <w:rsid w:val="742E5700"/>
    <w:rsid w:val="766958B4"/>
    <w:rsid w:val="76CE597E"/>
    <w:rsid w:val="779D6180"/>
    <w:rsid w:val="77C132D6"/>
    <w:rsid w:val="7D137C0E"/>
    <w:rsid w:val="7EF15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0</TotalTime>
  <ScaleCrop>false</ScaleCrop>
  <LinksUpToDate>false</LinksUpToDate>
  <CharactersWithSpaces>4143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2023-10-08T03:59:33Z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C1B0BAC0BAAC41D6B4832DC1D5F24EB4</vt:lpwstr>
  </property>
</Properties>
</file>