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52"/>
          <w:szCs w:val="52"/>
        </w:rPr>
      </w:pPr>
      <w:r>
        <w:rPr>
          <w:rFonts w:hint="eastAsia"/>
          <w:b/>
          <w:bCs/>
          <w:sz w:val="52"/>
          <w:szCs w:val="52"/>
          <w:lang w:val="en-US" w:eastAsia="zh-CN"/>
        </w:rPr>
        <w:t>2022</w:t>
      </w:r>
      <w:r>
        <w:rPr>
          <w:rFonts w:hint="eastAsia"/>
          <w:b/>
          <w:bCs/>
          <w:sz w:val="52"/>
          <w:szCs w:val="52"/>
        </w:rPr>
        <w:t>年</w:t>
      </w:r>
      <w:r>
        <w:rPr>
          <w:rFonts w:hint="eastAsia"/>
          <w:b/>
          <w:bCs/>
          <w:sz w:val="52"/>
          <w:szCs w:val="52"/>
          <w:lang w:eastAsia="zh-CN"/>
        </w:rPr>
        <w:t>三亚市审计局</w:t>
      </w:r>
      <w:r>
        <w:rPr>
          <w:rFonts w:hint="eastAsia"/>
          <w:b/>
          <w:bCs/>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三亚市审计局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仿宋_GB2312" w:hAnsi="仿宋_GB2312" w:eastAsia="仿宋_GB2312" w:cs="仿宋_GB2312"/>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ascii="楷体_GB2312" w:hAnsi="Calibri" w:eastAsia="楷体_GB2312" w:cs="楷体_GB2312"/>
          <w:color w:val="000000"/>
          <w:kern w:val="0"/>
          <w:sz w:val="32"/>
          <w:szCs w:val="32"/>
          <w:shd w:val="clear" w:color="auto" w:fill="auto"/>
          <w:lang w:val="en-US" w:eastAsia="zh-CN"/>
        </w:rPr>
        <w:t>（一）单位职责。</w:t>
      </w:r>
      <w:r>
        <w:rPr>
          <w:rFonts w:hint="eastAsia" w:ascii="仿宋_GB2312" w:hAnsi="仿宋_GB2312" w:eastAsia="仿宋_GB2312" w:cs="宋体"/>
          <w:color w:val="auto"/>
          <w:kern w:val="0"/>
          <w:sz w:val="32"/>
          <w:szCs w:val="32"/>
        </w:rPr>
        <w:t>贯彻执行党和国家</w:t>
      </w:r>
      <w:r>
        <w:rPr>
          <w:rFonts w:hint="eastAsia" w:ascii="仿宋_GB2312" w:hAnsi="仿宋_GB2312" w:eastAsia="仿宋_GB2312" w:cs="宋体"/>
          <w:color w:val="auto"/>
          <w:kern w:val="0"/>
          <w:sz w:val="32"/>
          <w:szCs w:val="32"/>
          <w:lang w:eastAsia="zh-CN"/>
        </w:rPr>
        <w:t>、省</w:t>
      </w:r>
      <w:r>
        <w:rPr>
          <w:rFonts w:hint="eastAsia" w:ascii="仿宋_GB2312" w:hAnsi="仿宋_GB2312" w:eastAsia="仿宋_GB2312" w:cs="宋体"/>
          <w:color w:val="auto"/>
          <w:kern w:val="0"/>
          <w:sz w:val="32"/>
          <w:szCs w:val="32"/>
        </w:rPr>
        <w:t>有关审计工作的方针政策、法律法规、规章</w:t>
      </w:r>
      <w:r>
        <w:rPr>
          <w:rFonts w:hint="eastAsia" w:ascii="仿宋_GB2312" w:hAnsi="仿宋_GB2312" w:eastAsia="仿宋_GB2312" w:cs="宋体"/>
          <w:color w:val="auto"/>
          <w:kern w:val="0"/>
          <w:sz w:val="32"/>
          <w:szCs w:val="32"/>
          <w:lang w:eastAsia="zh-CN"/>
        </w:rPr>
        <w:t>；研究拟订并组织实施全市审计工作法规付账、发展战略和政策措施，研究推进审计改革，研究提出中国（海南）自由贸易试验区、中国特色自由贸易港审计工作方面的意见和建议</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负责对市本级财政收支、区政府财政收支和法律法规规定属于审计监督范围的财务收支的真实、合法和效益进行审计监督</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向市委审计委员会提出年度市本级预算执行和其他财政支出情况审计报告</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按规定对市本级各部门和区党政主要领导干部及其他单位主要负责人实施经济责任审计和自然资源资产离任审计</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组织实施对财经法律法规、规章、政策和宏观调控措施执行、财政预算管理及国有资产管理使用等于财政收支有关的特定事项进行专项审计调查</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依法检查审计决定执行情况，督促整改审计查出的问题，依法办理被审计单位对审计决定提请行政诉讼或市政府裁决中的有关事项，协助配合有关部门查出重大案件</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指导和监督内部审计工作，核查社会审计机构对依法属于审计监督对象的单位出具的相关审计报告</w:t>
      </w:r>
      <w:r>
        <w:rPr>
          <w:rFonts w:hint="eastAsia" w:ascii="仿宋_GB2312" w:hAnsi="仿宋_GB2312" w:eastAsia="仿宋_GB2312" w:cs="宋体"/>
          <w:color w:val="auto"/>
          <w:kern w:val="0"/>
          <w:sz w:val="32"/>
          <w:szCs w:val="32"/>
        </w:rPr>
        <w:t>；</w:t>
      </w:r>
      <w:r>
        <w:rPr>
          <w:rFonts w:hint="eastAsia" w:ascii="仿宋_GB2312" w:hAnsi="仿宋_GB2312" w:eastAsia="仿宋_GB2312" w:cs="宋体"/>
          <w:color w:val="auto"/>
          <w:kern w:val="0"/>
          <w:sz w:val="32"/>
          <w:szCs w:val="32"/>
          <w:lang w:eastAsia="zh-CN"/>
        </w:rPr>
        <w:t>与区党委和政府共同领导区审计机关；检查指导各区审计工作</w:t>
      </w:r>
      <w:r>
        <w:rPr>
          <w:rFonts w:hint="eastAsia" w:ascii="仿宋_GB2312" w:hAnsi="仿宋_GB2312" w:eastAsia="仿宋_GB2312" w:cs="宋体"/>
          <w:color w:val="auto"/>
          <w:kern w:val="0"/>
          <w:sz w:val="32"/>
          <w:szCs w:val="32"/>
        </w:rPr>
        <w:t>等。</w:t>
      </w:r>
      <w:r>
        <w:rPr>
          <w:rFonts w:hint="eastAsia" w:ascii="仿宋_GB2312" w:eastAsia="仿宋_GB2312" w:cs="仿宋_GB2312"/>
          <w:color w:val="000000"/>
          <w:kern w:val="0"/>
          <w:sz w:val="32"/>
          <w:szCs w:val="32"/>
          <w:shd w:val="clear" w:color="auto" w:fill="auto"/>
          <w:lang w:val="en-US" w:eastAsia="zh-CN"/>
        </w:rPr>
        <w:t>（二）机构设置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highlight w:val="none"/>
          <w:shd w:val="clear" w:color="auto" w:fill="auto"/>
          <w:lang w:val="en-US" w:eastAsia="zh-CN"/>
        </w:rPr>
      </w:pPr>
      <w:r>
        <w:rPr>
          <w:rFonts w:hint="eastAsia" w:ascii="仿宋_GB2312" w:eastAsia="仿宋_GB2312" w:cs="仿宋_GB2312"/>
          <w:color w:val="000000"/>
          <w:kern w:val="0"/>
          <w:sz w:val="32"/>
          <w:szCs w:val="32"/>
          <w:highlight w:val="none"/>
          <w:shd w:val="clear" w:color="auto" w:fill="auto"/>
          <w:lang w:val="en-US" w:eastAsia="zh-CN"/>
        </w:rPr>
        <w:t>三亚市审计局行政编制核定数为36名，截止2021年12月31日，实有行政人员33名，工勤人员2名。内设科室14个，局长1名，副局长2名，市经责办主任1名，总审计师1名，党组成员1名。科级领导13名（其中4名提拨科长组织部备案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ascii="黑体" w:hAnsi="黑体" w:eastAsia="黑体" w:cs="仿宋_GB2312"/>
          <w:sz w:val="32"/>
          <w:szCs w:val="32"/>
        </w:rPr>
      </w:pPr>
      <w:r>
        <w:rPr>
          <w:rFonts w:hint="eastAsia" w:ascii="仿宋_GB2312" w:eastAsia="仿宋_GB2312" w:cs="仿宋_GB2312"/>
          <w:color w:val="000000"/>
          <w:kern w:val="0"/>
          <w:sz w:val="32"/>
          <w:szCs w:val="32"/>
          <w:highlight w:val="none"/>
          <w:shd w:val="clear" w:color="auto" w:fill="auto"/>
          <w:lang w:val="en-US" w:eastAsia="zh-CN"/>
        </w:rPr>
        <w:t>下设一个副处级事业单位三亚市政府投资审计中心，编制数</w:t>
      </w:r>
      <w:r>
        <w:rPr>
          <w:rFonts w:hint="eastAsia" w:ascii="仿宋_GB2312" w:eastAsia="仿宋_GB2312" w:cs="仿宋_GB2312"/>
          <w:color w:val="auto"/>
          <w:kern w:val="0"/>
          <w:sz w:val="32"/>
          <w:szCs w:val="32"/>
          <w:highlight w:val="none"/>
          <w:shd w:val="clear" w:color="auto" w:fill="auto"/>
          <w:lang w:val="en-US" w:eastAsia="zh-CN"/>
        </w:rPr>
        <w:t>18名</w:t>
      </w:r>
      <w:r>
        <w:rPr>
          <w:rFonts w:hint="eastAsia" w:ascii="仿宋_GB2312" w:eastAsia="仿宋_GB2312" w:cs="仿宋_GB2312"/>
          <w:color w:val="000000"/>
          <w:kern w:val="0"/>
          <w:sz w:val="32"/>
          <w:szCs w:val="32"/>
          <w:highlight w:val="none"/>
          <w:shd w:val="clear" w:color="auto" w:fill="auto"/>
          <w:lang w:val="en-US" w:eastAsia="zh-CN"/>
        </w:rPr>
        <w:t>，实有14名。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三亚市审计局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ind w:left="8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三亚市政府投资审计中心</w:t>
      </w: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2022年部门</w:t>
      </w:r>
      <w:r>
        <w:rPr>
          <w:rFonts w:hint="eastAsia" w:ascii="黑体" w:hAnsi="黑体" w:eastAsia="黑体"/>
          <w:sz w:val="32"/>
          <w:szCs w:val="32"/>
        </w:rPr>
        <w:t>预算表</w:t>
      </w:r>
    </w:p>
    <w:p>
      <w:pPr>
        <w:jc w:val="center"/>
        <w:rPr>
          <w:rFonts w:ascii="仿宋_GB2312" w:hAnsi="黑体" w:eastAsia="仿宋_GB2312"/>
          <w:b/>
          <w:bCs w:val="0"/>
          <w:sz w:val="32"/>
          <w:szCs w:val="32"/>
        </w:rPr>
      </w:pPr>
      <w:r>
        <w:rPr>
          <w:rFonts w:hint="eastAsia" w:ascii="仿宋_GB2312" w:hAnsi="黑体" w:eastAsia="仿宋_GB2312"/>
          <w:b/>
          <w:bCs w:val="0"/>
          <w:sz w:val="32"/>
          <w:szCs w:val="32"/>
        </w:rPr>
        <w:t>（</w:t>
      </w:r>
      <w:r>
        <w:rPr>
          <w:rFonts w:hint="eastAsia" w:ascii="仿宋_GB2312" w:hAnsi="黑体" w:eastAsia="仿宋_GB2312"/>
          <w:b/>
          <w:bCs w:val="0"/>
          <w:sz w:val="32"/>
          <w:szCs w:val="32"/>
          <w:lang w:eastAsia="zh-CN"/>
        </w:rPr>
        <w:t>部门预算公开</w:t>
      </w:r>
      <w:r>
        <w:rPr>
          <w:rFonts w:hint="eastAsia" w:ascii="仿宋_GB2312" w:hAnsi="黑体" w:eastAsia="仿宋_GB2312"/>
          <w:b/>
          <w:bCs w:val="0"/>
          <w:sz w:val="32"/>
          <w:szCs w:val="32"/>
        </w:rPr>
        <w:t>表</w:t>
      </w:r>
      <w:r>
        <w:rPr>
          <w:rFonts w:hint="eastAsia" w:ascii="仿宋_GB2312" w:hAnsi="黑体" w:eastAsia="仿宋_GB2312"/>
          <w:b/>
          <w:bCs w:val="0"/>
          <w:sz w:val="32"/>
          <w:szCs w:val="32"/>
          <w:lang w:eastAsia="zh-CN"/>
        </w:rPr>
        <w:t>详见附件</w:t>
      </w:r>
      <w:r>
        <w:rPr>
          <w:rFonts w:hint="eastAsia" w:ascii="仿宋_GB2312" w:hAnsi="黑体" w:eastAsia="仿宋_GB2312"/>
          <w:b/>
          <w:bCs w:val="0"/>
          <w:sz w:val="32"/>
          <w:szCs w:val="32"/>
        </w:rPr>
        <w:t>）</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2022年</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三亚市审计局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2410.89</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2130.18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106.31万元、卫生健康支出128.09万元、住房保障支出66.31万元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2410.89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人员退休、人员经费、公用经费、审计项目劳务费的增加。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2110.18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87.53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106.31万元，占4.41%；卫生健康支出128.09万元，占5.31%；住房保障支出66.31万元，占2.75%。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审计</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888.98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65.81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人员调入，人员经费工资及公用经费相应的增加。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审计</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2022年新增秘书科办公设备及局办公楼六楼会议室华为135寸LED会议屏等固定资产、审计局一楼审计中心及投资科办公室天棚防水工程维修费的增加。</w:t>
      </w:r>
    </w:p>
    <w:p>
      <w:pPr>
        <w:ind w:firstLine="640" w:firstLineChars="200"/>
        <w:rPr>
          <w:rFonts w:hint="default" w:ascii="仿宋_GB2312" w:hAnsi="Calibri" w:eastAsia="仿宋_GB2312" w:cs="仿宋_GB2312"/>
          <w:color w:val="000000"/>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3.一般公共服务（类）审计事务（款）审计业务（项）</w:t>
      </w:r>
    </w:p>
    <w:p>
      <w:pPr>
        <w:ind w:firstLine="640" w:firstLineChars="200"/>
        <w:rPr>
          <w:rFonts w:hint="eastAsia" w:ascii="仿宋_GB2312" w:eastAsia="仿宋_GB2312" w:cs="仿宋_GB2312"/>
          <w:color w:val="000000"/>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2022年预算数为992.2万元，比上年预算数增加122.2万元，主要是增加凤凰岛二岛跟踪审计项目及审计投审平台升级改造费用。</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auto"/>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社会保障和就业支出（类）行政事业</w:t>
      </w:r>
      <w:r>
        <w:rPr>
          <w:rFonts w:hint="eastAsia" w:ascii="仿宋_GB2312" w:hAnsi="Calibri" w:eastAsia="仿宋_GB2312" w:cs="仿宋_GB2312"/>
          <w:color w:val="000000"/>
          <w:kern w:val="0"/>
          <w:sz w:val="32"/>
          <w:szCs w:val="32"/>
          <w:shd w:val="clear" w:color="auto" w:fill="auto"/>
          <w:lang w:val="en-US" w:eastAsia="zh-CN"/>
        </w:rPr>
        <w:t>养老支出</w:t>
      </w:r>
      <w:r>
        <w:rPr>
          <w:rFonts w:hint="default" w:ascii="仿宋_GB2312" w:hAnsi="Calibri" w:eastAsia="仿宋_GB2312" w:cs="仿宋_GB2312"/>
          <w:color w:val="000000"/>
          <w:kern w:val="0"/>
          <w:sz w:val="32"/>
          <w:szCs w:val="32"/>
          <w:shd w:val="clear" w:color="auto" w:fill="auto"/>
          <w:lang w:val="en-US" w:eastAsia="zh-CN"/>
        </w:rPr>
        <w:t>（款）</w:t>
      </w:r>
      <w:r>
        <w:rPr>
          <w:rFonts w:hint="eastAsia" w:ascii="仿宋_GB2312" w:hAnsi="Calibri" w:eastAsia="仿宋_GB2312" w:cs="仿宋_GB2312"/>
          <w:color w:val="000000"/>
          <w:kern w:val="0"/>
          <w:sz w:val="32"/>
          <w:szCs w:val="32"/>
          <w:shd w:val="clear" w:color="auto" w:fill="auto"/>
          <w:lang w:val="en-US" w:eastAsia="zh-CN"/>
        </w:rPr>
        <w:t>机关</w:t>
      </w:r>
      <w:r>
        <w:rPr>
          <w:rFonts w:hint="default" w:ascii="仿宋_GB2312" w:hAnsi="Calibri" w:eastAsia="仿宋_GB2312" w:cs="仿宋_GB2312"/>
          <w:color w:val="000000"/>
          <w:kern w:val="0"/>
          <w:sz w:val="32"/>
          <w:szCs w:val="32"/>
          <w:shd w:val="clear" w:color="auto" w:fill="auto"/>
          <w:lang w:val="en-US" w:eastAsia="zh-CN"/>
        </w:rPr>
        <w:t>事业单位基本养老保险缴费支出（项）20</w:t>
      </w:r>
      <w:r>
        <w:rPr>
          <w:rFonts w:hint="eastAsia" w:ascii="仿宋_GB2312" w:hAnsi="Calibri" w:eastAsia="仿宋_GB2312" w:cs="仿宋_GB2312"/>
          <w:color w:val="000000"/>
          <w:kern w:val="0"/>
          <w:sz w:val="32"/>
          <w:szCs w:val="32"/>
          <w:shd w:val="clear" w:color="auto" w:fill="auto"/>
          <w:lang w:val="en-US" w:eastAsia="zh-CN"/>
        </w:rPr>
        <w:t>2</w:t>
      </w:r>
      <w:r>
        <w:rPr>
          <w:rFonts w:hint="eastAsia" w:ascii="仿宋_GB2312" w:eastAsia="仿宋_GB2312" w:cs="仿宋_GB2312"/>
          <w:color w:val="000000"/>
          <w:kern w:val="0"/>
          <w:sz w:val="32"/>
          <w:szCs w:val="32"/>
          <w:shd w:val="clear" w:color="auto" w:fill="auto"/>
          <w:lang w:val="en-US" w:eastAsia="zh-CN"/>
        </w:rPr>
        <w:t>2</w:t>
      </w:r>
      <w:r>
        <w:rPr>
          <w:rFonts w:hint="default" w:ascii="仿宋_GB2312" w:hAnsi="Calibri" w:eastAsia="仿宋_GB2312" w:cs="仿宋_GB2312"/>
          <w:color w:val="000000"/>
          <w:kern w:val="0"/>
          <w:sz w:val="32"/>
          <w:szCs w:val="32"/>
          <w:shd w:val="clear" w:color="auto" w:fill="auto"/>
          <w:lang w:val="en-US" w:eastAsia="zh-CN"/>
        </w:rPr>
        <w:t>年预算数为</w:t>
      </w:r>
      <w:r>
        <w:rPr>
          <w:rFonts w:hint="eastAsia" w:ascii="仿宋_GB2312" w:eastAsia="仿宋_GB2312" w:cs="仿宋_GB2312"/>
          <w:color w:val="000000"/>
          <w:kern w:val="0"/>
          <w:sz w:val="32"/>
          <w:szCs w:val="32"/>
          <w:shd w:val="clear" w:color="auto" w:fill="auto"/>
          <w:lang w:val="en-US" w:eastAsia="zh-CN"/>
        </w:rPr>
        <w:t>80.63</w:t>
      </w:r>
      <w:r>
        <w:rPr>
          <w:rFonts w:hint="default" w:ascii="仿宋_GB2312" w:hAnsi="Calibri" w:eastAsia="仿宋_GB2312" w:cs="仿宋_GB2312"/>
          <w:color w:val="000000"/>
          <w:kern w:val="0"/>
          <w:sz w:val="32"/>
          <w:szCs w:val="32"/>
          <w:shd w:val="clear" w:color="auto" w:fill="auto"/>
          <w:lang w:val="en-US" w:eastAsia="zh-CN"/>
        </w:rPr>
        <w:t>万元，比上年预算数</w:t>
      </w:r>
      <w:r>
        <w:rPr>
          <w:rFonts w:hint="eastAsia" w:ascii="仿宋_GB2312" w:eastAsia="仿宋_GB2312" w:cs="仿宋_GB2312"/>
          <w:color w:val="000000"/>
          <w:kern w:val="0"/>
          <w:sz w:val="32"/>
          <w:szCs w:val="32"/>
          <w:shd w:val="clear" w:color="auto" w:fill="auto"/>
          <w:lang w:val="en-US" w:eastAsia="zh-CN"/>
        </w:rPr>
        <w:t>增加6.1</w:t>
      </w:r>
      <w:r>
        <w:rPr>
          <w:rFonts w:hint="default" w:ascii="仿宋_GB2312" w:hAnsi="Calibri" w:eastAsia="仿宋_GB2312" w:cs="仿宋_GB2312"/>
          <w:color w:val="auto"/>
          <w:kern w:val="0"/>
          <w:sz w:val="32"/>
          <w:szCs w:val="32"/>
          <w:shd w:val="clear" w:color="auto" w:fill="auto"/>
          <w:lang w:val="en-US" w:eastAsia="zh-CN"/>
        </w:rPr>
        <w:t>万元，主要是</w:t>
      </w:r>
      <w:r>
        <w:rPr>
          <w:rFonts w:hint="eastAsia" w:ascii="仿宋_GB2312" w:eastAsia="仿宋_GB2312" w:cs="仿宋_GB2312"/>
          <w:color w:val="auto"/>
          <w:kern w:val="0"/>
          <w:sz w:val="32"/>
          <w:szCs w:val="32"/>
          <w:shd w:val="clear" w:color="auto" w:fill="auto"/>
          <w:lang w:val="en-US" w:eastAsia="zh-CN"/>
        </w:rPr>
        <w:t>2020年人员调入，养老缴费增加。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auto"/>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社会保障和就业支出（类）行政事业</w:t>
      </w:r>
      <w:r>
        <w:rPr>
          <w:rFonts w:hint="eastAsia" w:ascii="仿宋_GB2312" w:hAnsi="Calibri" w:eastAsia="仿宋_GB2312" w:cs="仿宋_GB2312"/>
          <w:color w:val="000000"/>
          <w:kern w:val="0"/>
          <w:sz w:val="32"/>
          <w:szCs w:val="32"/>
          <w:shd w:val="clear" w:color="auto" w:fill="auto"/>
          <w:lang w:val="en-US" w:eastAsia="zh-CN"/>
        </w:rPr>
        <w:t>养老支出</w:t>
      </w:r>
      <w:r>
        <w:rPr>
          <w:rFonts w:hint="default" w:ascii="仿宋_GB2312" w:hAnsi="Calibri" w:eastAsia="仿宋_GB2312" w:cs="仿宋_GB2312"/>
          <w:color w:val="000000"/>
          <w:kern w:val="0"/>
          <w:sz w:val="32"/>
          <w:szCs w:val="32"/>
          <w:shd w:val="clear" w:color="auto" w:fill="auto"/>
          <w:lang w:val="en-US" w:eastAsia="zh-CN"/>
        </w:rPr>
        <w:t>（款）</w:t>
      </w:r>
      <w:r>
        <w:rPr>
          <w:rFonts w:hint="eastAsia" w:ascii="仿宋_GB2312" w:hAnsi="Calibri" w:eastAsia="仿宋_GB2312" w:cs="仿宋_GB2312"/>
          <w:color w:val="000000"/>
          <w:kern w:val="0"/>
          <w:sz w:val="32"/>
          <w:szCs w:val="32"/>
          <w:shd w:val="clear" w:color="auto" w:fill="auto"/>
          <w:lang w:val="en-US" w:eastAsia="zh-CN"/>
        </w:rPr>
        <w:t>机关</w:t>
      </w:r>
      <w:r>
        <w:rPr>
          <w:rFonts w:hint="default" w:ascii="仿宋_GB2312" w:hAnsi="Calibri" w:eastAsia="仿宋_GB2312" w:cs="仿宋_GB2312"/>
          <w:color w:val="000000"/>
          <w:kern w:val="0"/>
          <w:sz w:val="32"/>
          <w:szCs w:val="32"/>
          <w:shd w:val="clear" w:color="auto" w:fill="auto"/>
          <w:lang w:val="en-US" w:eastAsia="zh-CN"/>
        </w:rPr>
        <w:t>事业单位</w:t>
      </w:r>
      <w:r>
        <w:rPr>
          <w:rFonts w:hint="eastAsia" w:ascii="仿宋_GB2312" w:eastAsia="仿宋_GB2312" w:cs="仿宋_GB2312"/>
          <w:color w:val="000000"/>
          <w:kern w:val="0"/>
          <w:sz w:val="32"/>
          <w:szCs w:val="32"/>
          <w:shd w:val="clear" w:color="auto" w:fill="auto"/>
          <w:lang w:val="en-US" w:eastAsia="zh-CN"/>
        </w:rPr>
        <w:t>职业年金</w:t>
      </w:r>
      <w:r>
        <w:rPr>
          <w:rFonts w:hint="default" w:ascii="仿宋_GB2312" w:hAnsi="Calibri" w:eastAsia="仿宋_GB2312" w:cs="仿宋_GB2312"/>
          <w:color w:val="000000"/>
          <w:kern w:val="0"/>
          <w:sz w:val="32"/>
          <w:szCs w:val="32"/>
          <w:shd w:val="clear" w:color="auto" w:fill="auto"/>
          <w:lang w:val="en-US" w:eastAsia="zh-CN"/>
        </w:rPr>
        <w:t>缴费支出（项）20</w:t>
      </w:r>
      <w:r>
        <w:rPr>
          <w:rFonts w:hint="eastAsia" w:ascii="仿宋_GB2312" w:hAnsi="Calibri" w:eastAsia="仿宋_GB2312" w:cs="仿宋_GB2312"/>
          <w:color w:val="000000"/>
          <w:kern w:val="0"/>
          <w:sz w:val="32"/>
          <w:szCs w:val="32"/>
          <w:shd w:val="clear" w:color="auto" w:fill="auto"/>
          <w:lang w:val="en-US" w:eastAsia="zh-CN"/>
        </w:rPr>
        <w:t>2</w:t>
      </w:r>
      <w:r>
        <w:rPr>
          <w:rFonts w:hint="eastAsia" w:ascii="仿宋_GB2312" w:eastAsia="仿宋_GB2312" w:cs="仿宋_GB2312"/>
          <w:color w:val="000000"/>
          <w:kern w:val="0"/>
          <w:sz w:val="32"/>
          <w:szCs w:val="32"/>
          <w:shd w:val="clear" w:color="auto" w:fill="auto"/>
          <w:lang w:val="en-US" w:eastAsia="zh-CN"/>
        </w:rPr>
        <w:t>2</w:t>
      </w:r>
      <w:r>
        <w:rPr>
          <w:rFonts w:hint="default" w:ascii="仿宋_GB2312" w:hAnsi="Calibri" w:eastAsia="仿宋_GB2312" w:cs="仿宋_GB2312"/>
          <w:color w:val="000000"/>
          <w:kern w:val="0"/>
          <w:sz w:val="32"/>
          <w:szCs w:val="32"/>
          <w:shd w:val="clear" w:color="auto" w:fill="auto"/>
          <w:lang w:val="en-US" w:eastAsia="zh-CN"/>
        </w:rPr>
        <w:t>年预算数为</w:t>
      </w:r>
      <w:r>
        <w:rPr>
          <w:rFonts w:hint="eastAsia" w:ascii="仿宋_GB2312" w:eastAsia="仿宋_GB2312" w:cs="仿宋_GB2312"/>
          <w:color w:val="000000"/>
          <w:kern w:val="0"/>
          <w:sz w:val="32"/>
          <w:szCs w:val="32"/>
          <w:shd w:val="clear" w:color="auto" w:fill="auto"/>
          <w:lang w:val="en-US" w:eastAsia="zh-CN"/>
        </w:rPr>
        <w:t>24</w:t>
      </w:r>
      <w:r>
        <w:rPr>
          <w:rFonts w:hint="default" w:ascii="仿宋_GB2312" w:hAnsi="Calibri" w:eastAsia="仿宋_GB2312" w:cs="仿宋_GB2312"/>
          <w:color w:val="000000"/>
          <w:kern w:val="0"/>
          <w:sz w:val="32"/>
          <w:szCs w:val="32"/>
          <w:shd w:val="clear" w:color="auto" w:fill="auto"/>
          <w:lang w:val="en-US" w:eastAsia="zh-CN"/>
        </w:rPr>
        <w:t>万元，比上年预算数</w:t>
      </w:r>
      <w:r>
        <w:rPr>
          <w:rFonts w:hint="eastAsia" w:ascii="仿宋_GB2312" w:eastAsia="仿宋_GB2312" w:cs="仿宋_GB2312"/>
          <w:color w:val="000000"/>
          <w:kern w:val="0"/>
          <w:sz w:val="32"/>
          <w:szCs w:val="32"/>
          <w:shd w:val="clear" w:color="auto" w:fill="auto"/>
          <w:lang w:val="en-US" w:eastAsia="zh-CN"/>
        </w:rPr>
        <w:t>减少4</w:t>
      </w:r>
      <w:r>
        <w:rPr>
          <w:rFonts w:hint="default" w:ascii="仿宋_GB2312" w:hAnsi="Calibri" w:eastAsia="仿宋_GB2312" w:cs="仿宋_GB2312"/>
          <w:color w:val="auto"/>
          <w:kern w:val="0"/>
          <w:sz w:val="32"/>
          <w:szCs w:val="32"/>
          <w:shd w:val="clear" w:color="auto" w:fill="auto"/>
          <w:lang w:val="en-US" w:eastAsia="zh-CN"/>
        </w:rPr>
        <w:t>万元，主要是</w:t>
      </w:r>
      <w:r>
        <w:rPr>
          <w:rFonts w:hint="eastAsia" w:ascii="仿宋_GB2312" w:eastAsia="仿宋_GB2312" w:cs="仿宋_GB2312"/>
          <w:color w:val="auto"/>
          <w:kern w:val="0"/>
          <w:sz w:val="32"/>
          <w:szCs w:val="32"/>
          <w:shd w:val="clear" w:color="auto" w:fill="auto"/>
          <w:lang w:val="en-US" w:eastAsia="zh-CN"/>
        </w:rPr>
        <w:t>2022年退休人员增加。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hint="default" w:ascii="仿宋_GB2312" w:hAnsi="Calibri" w:eastAsia="仿宋_GB2312" w:cs="仿宋_GB2312"/>
          <w:color w:val="000000"/>
          <w:kern w:val="0"/>
          <w:sz w:val="32"/>
          <w:szCs w:val="32"/>
          <w:shd w:val="clear" w:color="auto" w:fill="auto"/>
          <w:lang w:val="en-US" w:eastAsia="zh-CN"/>
        </w:rPr>
        <w:t>社会保障和就业支出（类）</w:t>
      </w:r>
      <w:r>
        <w:rPr>
          <w:rFonts w:hint="eastAsia" w:ascii="仿宋_GB2312" w:hAnsi="Calibri" w:eastAsia="仿宋_GB2312" w:cs="仿宋_GB2312"/>
          <w:color w:val="000000"/>
          <w:kern w:val="0"/>
          <w:sz w:val="32"/>
          <w:szCs w:val="32"/>
          <w:shd w:val="clear" w:color="auto" w:fill="auto"/>
          <w:lang w:val="en-US" w:eastAsia="zh-CN"/>
        </w:rPr>
        <w:t>抚恤（款）其他优抚支出（项）202</w:t>
      </w:r>
      <w:r>
        <w:rPr>
          <w:rFonts w:hint="eastAsia" w:ascii="仿宋_GB2312" w:eastAsia="仿宋_GB2312" w:cs="仿宋_GB2312"/>
          <w:color w:val="000000"/>
          <w:kern w:val="0"/>
          <w:sz w:val="32"/>
          <w:szCs w:val="32"/>
          <w:shd w:val="clear" w:color="auto" w:fill="auto"/>
          <w:lang w:val="en-US" w:eastAsia="zh-CN"/>
        </w:rPr>
        <w:t>2</w:t>
      </w:r>
      <w:r>
        <w:rPr>
          <w:rFonts w:hint="eastAsia" w:ascii="仿宋_GB2312" w:hAnsi="Calibri" w:eastAsia="仿宋_GB2312" w:cs="仿宋_GB2312"/>
          <w:color w:val="000000"/>
          <w:kern w:val="0"/>
          <w:sz w:val="32"/>
          <w:szCs w:val="32"/>
          <w:shd w:val="clear" w:color="auto" w:fill="auto"/>
          <w:lang w:val="en-US" w:eastAsia="zh-CN"/>
        </w:rPr>
        <w:t>年预算数为1.68万元，</w:t>
      </w:r>
      <w:r>
        <w:rPr>
          <w:rFonts w:hint="eastAsia" w:ascii="仿宋_GB2312" w:eastAsia="仿宋_GB2312" w:cs="仿宋_GB2312"/>
          <w:color w:val="000000"/>
          <w:kern w:val="0"/>
          <w:sz w:val="32"/>
          <w:szCs w:val="32"/>
          <w:shd w:val="clear" w:color="auto" w:fill="auto"/>
          <w:lang w:val="en-US" w:eastAsia="zh-CN"/>
        </w:rPr>
        <w:t>与上年持平</w:t>
      </w:r>
      <w:r>
        <w:rPr>
          <w:rFonts w:hint="eastAsia" w:ascii="仿宋_GB2312" w:hAnsi="Calibri" w:eastAsia="仿宋_GB2312" w:cs="仿宋_GB2312"/>
          <w:color w:val="000000"/>
          <w:kern w:val="0"/>
          <w:sz w:val="32"/>
          <w:szCs w:val="32"/>
          <w:shd w:val="clear" w:color="auto" w:fill="auto"/>
          <w:lang w:val="en-US" w:eastAsia="zh-CN"/>
        </w:rPr>
        <w:t>，主要是为了很好的执行项目支出进度，使项目支出能按时间节点完成。</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卫生健康支出（类）行政事业单位医疗（款）行政单位医疗（项）2022年预算数为42.83万元，比上年预算数增加3.23万元，</w:t>
      </w:r>
      <w:r>
        <w:rPr>
          <w:rFonts w:hint="eastAsia" w:ascii="仿宋_GB2312" w:eastAsia="仿宋_GB2312" w:cs="仿宋_GB2312"/>
          <w:color w:val="auto"/>
          <w:kern w:val="0"/>
          <w:sz w:val="32"/>
          <w:szCs w:val="32"/>
          <w:shd w:val="clear" w:color="auto" w:fill="auto"/>
          <w:lang w:val="en-US" w:eastAsia="zh-CN"/>
        </w:rPr>
        <w:t>主要是因为人员增加，医疗也相应增加。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auto"/>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卫生健康支出（类）行政事业单位医疗（款）公务员医疗补助（项）2022年预算数为85.26万元，比上年预算数增加12.48万元，</w:t>
      </w:r>
      <w:r>
        <w:rPr>
          <w:rFonts w:hint="eastAsia" w:ascii="仿宋_GB2312" w:eastAsia="仿宋_GB2312" w:cs="仿宋_GB2312"/>
          <w:color w:val="auto"/>
          <w:kern w:val="0"/>
          <w:sz w:val="32"/>
          <w:szCs w:val="32"/>
          <w:shd w:val="clear" w:color="auto" w:fill="auto"/>
          <w:lang w:val="en-US" w:eastAsia="zh-CN"/>
        </w:rPr>
        <w:t>主要是因为人员增加，公务员医疗补助相应增加。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仿宋_GB2312" w:eastAsia="仿宋_GB2312" w:cs="仿宋_GB2312"/>
          <w:color w:val="000000"/>
          <w:kern w:val="0"/>
          <w:sz w:val="32"/>
          <w:szCs w:val="32"/>
          <w:shd w:val="clear" w:color="auto" w:fill="auto"/>
          <w:lang w:val="en-US" w:eastAsia="zh-CN"/>
        </w:rPr>
      </w:pPr>
      <w:r>
        <w:rPr>
          <w:rFonts w:hint="eastAsia" w:ascii="仿宋_GB2312" w:eastAsia="仿宋_GB2312" w:cs="仿宋_GB2312"/>
          <w:color w:val="000000"/>
          <w:kern w:val="0"/>
          <w:sz w:val="32"/>
          <w:szCs w:val="32"/>
          <w:shd w:val="clear" w:color="auto" w:fill="auto"/>
          <w:lang w:val="en-US" w:eastAsia="zh-CN"/>
        </w:rPr>
        <w:t>住房保障支出（类）住房改革支出（款）住房公积金（项)2022年预算数为66.31万元，比上年预算数增加2.97万元，主要是因为人员增加，住房公积金也相应增加。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三亚市审计局</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1189.69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1105.4</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、公务员医疗补助缴费、其他社会保障缴费、住房公积、医疗费、其他工资福利支出、邮电费、其他交通费、生活补助、奖励金。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84.29</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6.79</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5.44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5.44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bookmarkStart w:id="0" w:name="_GoBack"/>
      <w:r>
        <w:rPr>
          <w:rFonts w:ascii="仿宋_GB2312" w:hAnsi="黑体" w:eastAsia="仿宋_GB2312" w:cs="Times New Roman"/>
          <w:sz w:val="32"/>
          <w:szCs w:val="32"/>
          <w:highlight w:val="none"/>
        </w:rPr>
        <w:t>公务接待费</w:t>
      </w:r>
      <w:r>
        <w:rPr>
          <w:rFonts w:hint="eastAsia" w:ascii="仿宋_GB2312" w:hAnsi="黑体" w:eastAsia="仿宋_GB2312" w:cs="Times New Roman"/>
          <w:sz w:val="32"/>
          <w:szCs w:val="32"/>
          <w:highlight w:val="none"/>
          <w:lang w:val="en-US" w:eastAsia="zh-CN"/>
        </w:rPr>
        <w:t>1.35</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6批20人。</w:t>
      </w:r>
      <w:bookmarkEnd w:id="0"/>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三亚市审计局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0.82</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2410.89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99.18</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增加的人员工资及公用经费。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三亚市审计局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三亚市审计局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2430.89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1189.69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48.94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1241.2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51.06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审计业务劳务费、新增固定资产、局一楼审计中心及投资科办公室天棚防水工程维修费。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三亚市审计局本级、三亚市政府投资审计中心的机关</w:t>
      </w:r>
      <w:r>
        <w:rPr>
          <w:rFonts w:hint="eastAsia" w:ascii="仿宋_GB2312" w:hAnsi="黑体" w:eastAsia="仿宋_GB2312" w:cs="仿宋_GB2312"/>
          <w:sz w:val="32"/>
          <w:szCs w:val="32"/>
        </w:rPr>
        <w:t>运行经费预算</w:t>
      </w:r>
      <w:r>
        <w:rPr>
          <w:rFonts w:hint="eastAsia" w:ascii="仿宋_GB2312" w:hAnsi="黑体" w:eastAsia="仿宋_GB2312" w:cs="仿宋_GB2312"/>
          <w:sz w:val="32"/>
          <w:szCs w:val="32"/>
          <w:lang w:val="en-US" w:eastAsia="zh-CN"/>
        </w:rPr>
        <w:t>186.47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三亚市审计局本级及下属单位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56.69万元</w:t>
      </w:r>
      <w:r>
        <w:rPr>
          <w:rFonts w:hint="eastAsia" w:ascii="仿宋_GB2312" w:hAnsi="黑体" w:eastAsia="仿宋_GB2312"/>
          <w:sz w:val="32"/>
          <w:szCs w:val="32"/>
        </w:rPr>
        <w:t>，其中：政府采购</w:t>
      </w:r>
      <w:r>
        <w:rPr>
          <w:rFonts w:hint="eastAsia" w:ascii="仿宋_GB2312" w:hAnsi="黑体" w:eastAsia="仿宋_GB2312"/>
          <w:sz w:val="32"/>
          <w:szCs w:val="32"/>
          <w:lang w:eastAsia="zh-CN"/>
        </w:rPr>
        <w:t>办公设备</w:t>
      </w:r>
      <w:r>
        <w:rPr>
          <w:rFonts w:hint="eastAsia" w:ascii="仿宋_GB2312" w:hAnsi="黑体" w:eastAsia="仿宋_GB2312"/>
          <w:sz w:val="32"/>
          <w:szCs w:val="32"/>
        </w:rPr>
        <w:t>预算</w:t>
      </w:r>
      <w:r>
        <w:rPr>
          <w:rFonts w:hint="eastAsia" w:ascii="仿宋_GB2312" w:hAnsi="黑体" w:eastAsia="仿宋_GB2312"/>
          <w:sz w:val="32"/>
          <w:szCs w:val="32"/>
          <w:lang w:val="en-US" w:eastAsia="zh-CN"/>
        </w:rPr>
        <w:t>56.69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三亚市审计局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三亚市审计局</w:t>
      </w:r>
      <w:r>
        <w:rPr>
          <w:rFonts w:hint="eastAsia" w:ascii="仿宋_GB2312" w:hAnsi="黑体" w:eastAsia="仿宋_GB2312"/>
          <w:sz w:val="32"/>
          <w:szCs w:val="32"/>
          <w:highlight w:val="none"/>
          <w:lang w:val="en-US" w:eastAsia="zh-CN"/>
        </w:rPr>
        <w:t>14</w:t>
      </w:r>
      <w:r>
        <w:rPr>
          <w:rFonts w:hint="eastAsia" w:ascii="仿宋_GB2312" w:hAnsi="黑体" w:eastAsia="仿宋_GB2312" w:cs="仿宋_GB2312"/>
          <w:sz w:val="32"/>
          <w:szCs w:val="32"/>
          <w:highlight w:val="none"/>
        </w:rPr>
        <w:t>个项目实行绩效目标管</w:t>
      </w:r>
      <w:r>
        <w:rPr>
          <w:rFonts w:hint="eastAsia" w:ascii="仿宋_GB2312" w:hAnsi="黑体" w:eastAsia="仿宋_GB2312" w:cs="仿宋_GB2312"/>
          <w:sz w:val="32"/>
          <w:szCs w:val="32"/>
          <w:highlight w:val="none"/>
          <w:lang w:eastAsia="zh-CN"/>
        </w:rPr>
        <w:t>理，</w:t>
      </w:r>
      <w:r>
        <w:rPr>
          <w:rFonts w:hint="eastAsia" w:ascii="仿宋_GB2312" w:hAnsi="黑体" w:eastAsia="仿宋_GB2312" w:cs="仿宋_GB2312"/>
          <w:sz w:val="32"/>
          <w:szCs w:val="32"/>
          <w:highlight w:val="none"/>
        </w:rPr>
        <w:t>涉及一般公共预算</w:t>
      </w:r>
      <w:r>
        <w:rPr>
          <w:rFonts w:hint="eastAsia" w:ascii="仿宋_GB2312" w:hAnsi="黑体" w:eastAsia="仿宋_GB2312" w:cs="仿宋_GB2312"/>
          <w:sz w:val="32"/>
          <w:szCs w:val="32"/>
          <w:highlight w:val="none"/>
          <w:lang w:val="en-US" w:eastAsia="zh-CN"/>
        </w:rPr>
        <w:t>2430.89</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，政府性基金</w:t>
      </w:r>
      <w:r>
        <w:rPr>
          <w:rFonts w:hint="eastAsia" w:ascii="仿宋_GB2312" w:hAnsi="黑体" w:eastAsia="仿宋_GB2312"/>
          <w:sz w:val="32"/>
          <w:szCs w:val="32"/>
          <w:highlight w:val="none"/>
          <w:lang w:val="en-US" w:eastAsia="zh-CN"/>
        </w:rPr>
        <w:t>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12</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12</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4702A"/>
    <w:multiLevelType w:val="singleLevel"/>
    <w:tmpl w:val="6204702A"/>
    <w:lvl w:ilvl="0" w:tentative="0">
      <w:start w:val="4"/>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7F25"/>
    <w:rsid w:val="010A7084"/>
    <w:rsid w:val="013E77B2"/>
    <w:rsid w:val="016520DA"/>
    <w:rsid w:val="01706450"/>
    <w:rsid w:val="01731C4A"/>
    <w:rsid w:val="020C3C8C"/>
    <w:rsid w:val="027A3856"/>
    <w:rsid w:val="03116A60"/>
    <w:rsid w:val="0328367A"/>
    <w:rsid w:val="03362E00"/>
    <w:rsid w:val="03385659"/>
    <w:rsid w:val="03733443"/>
    <w:rsid w:val="039D2A81"/>
    <w:rsid w:val="03D442F2"/>
    <w:rsid w:val="03EC28DF"/>
    <w:rsid w:val="041003B4"/>
    <w:rsid w:val="041D52F2"/>
    <w:rsid w:val="044B7427"/>
    <w:rsid w:val="04695830"/>
    <w:rsid w:val="04C60B0D"/>
    <w:rsid w:val="04C9051F"/>
    <w:rsid w:val="051010EC"/>
    <w:rsid w:val="05212B81"/>
    <w:rsid w:val="0571103B"/>
    <w:rsid w:val="05D422F5"/>
    <w:rsid w:val="05F55A06"/>
    <w:rsid w:val="05F76BF4"/>
    <w:rsid w:val="060D4D5F"/>
    <w:rsid w:val="066831F7"/>
    <w:rsid w:val="068B0F3B"/>
    <w:rsid w:val="06D6057C"/>
    <w:rsid w:val="06DF41C0"/>
    <w:rsid w:val="06F74982"/>
    <w:rsid w:val="07183AB6"/>
    <w:rsid w:val="07576B64"/>
    <w:rsid w:val="07D4556E"/>
    <w:rsid w:val="07DF7EA2"/>
    <w:rsid w:val="080A478F"/>
    <w:rsid w:val="08121891"/>
    <w:rsid w:val="082C48A8"/>
    <w:rsid w:val="088C7B10"/>
    <w:rsid w:val="08CB0B92"/>
    <w:rsid w:val="09090B93"/>
    <w:rsid w:val="096C0064"/>
    <w:rsid w:val="09B14253"/>
    <w:rsid w:val="09BB4828"/>
    <w:rsid w:val="0A7A7DFA"/>
    <w:rsid w:val="0AC10986"/>
    <w:rsid w:val="0AFD371E"/>
    <w:rsid w:val="0B083CA6"/>
    <w:rsid w:val="0B4618F9"/>
    <w:rsid w:val="0B9F6F48"/>
    <w:rsid w:val="0BD51C9B"/>
    <w:rsid w:val="0C031CCE"/>
    <w:rsid w:val="0C046F17"/>
    <w:rsid w:val="0D176BE8"/>
    <w:rsid w:val="0D1B042B"/>
    <w:rsid w:val="0D375596"/>
    <w:rsid w:val="0DD2719E"/>
    <w:rsid w:val="0DEF2959"/>
    <w:rsid w:val="0E123629"/>
    <w:rsid w:val="0E161080"/>
    <w:rsid w:val="0EC55623"/>
    <w:rsid w:val="0F4F2B49"/>
    <w:rsid w:val="0F596834"/>
    <w:rsid w:val="0F73007D"/>
    <w:rsid w:val="0F8E6F0B"/>
    <w:rsid w:val="105670C9"/>
    <w:rsid w:val="10B217D9"/>
    <w:rsid w:val="10E55714"/>
    <w:rsid w:val="110D5859"/>
    <w:rsid w:val="11484444"/>
    <w:rsid w:val="118E6E86"/>
    <w:rsid w:val="11A125B2"/>
    <w:rsid w:val="1246157D"/>
    <w:rsid w:val="12A97F66"/>
    <w:rsid w:val="12EA0915"/>
    <w:rsid w:val="12F5020C"/>
    <w:rsid w:val="13235E30"/>
    <w:rsid w:val="13C92811"/>
    <w:rsid w:val="13C97237"/>
    <w:rsid w:val="13EE7325"/>
    <w:rsid w:val="14214B0D"/>
    <w:rsid w:val="1470450E"/>
    <w:rsid w:val="14751F11"/>
    <w:rsid w:val="14B527E3"/>
    <w:rsid w:val="153470EC"/>
    <w:rsid w:val="1596430C"/>
    <w:rsid w:val="16612A1C"/>
    <w:rsid w:val="167D6297"/>
    <w:rsid w:val="168267A9"/>
    <w:rsid w:val="1704333E"/>
    <w:rsid w:val="177741AB"/>
    <w:rsid w:val="180F0137"/>
    <w:rsid w:val="187E4102"/>
    <w:rsid w:val="190B7D2E"/>
    <w:rsid w:val="191F59F8"/>
    <w:rsid w:val="19422F4A"/>
    <w:rsid w:val="194F0CC7"/>
    <w:rsid w:val="199E7649"/>
    <w:rsid w:val="19A52DC7"/>
    <w:rsid w:val="19B27C19"/>
    <w:rsid w:val="19F31E9E"/>
    <w:rsid w:val="1A290AFC"/>
    <w:rsid w:val="1A69499F"/>
    <w:rsid w:val="1A87168E"/>
    <w:rsid w:val="1A924FB7"/>
    <w:rsid w:val="1AF05F85"/>
    <w:rsid w:val="1B066D49"/>
    <w:rsid w:val="1B224FE1"/>
    <w:rsid w:val="1B6F22A2"/>
    <w:rsid w:val="1BB12D6C"/>
    <w:rsid w:val="1BC52A75"/>
    <w:rsid w:val="1C154C70"/>
    <w:rsid w:val="1C1B0953"/>
    <w:rsid w:val="1C914563"/>
    <w:rsid w:val="1CFF5AA4"/>
    <w:rsid w:val="1D593207"/>
    <w:rsid w:val="1D9033D4"/>
    <w:rsid w:val="1D9A277A"/>
    <w:rsid w:val="1DDC723B"/>
    <w:rsid w:val="1DEE732A"/>
    <w:rsid w:val="1E016EBC"/>
    <w:rsid w:val="1E057ABA"/>
    <w:rsid w:val="1E464440"/>
    <w:rsid w:val="1E9418A9"/>
    <w:rsid w:val="1EFB011C"/>
    <w:rsid w:val="1F2D0BA0"/>
    <w:rsid w:val="1FAC5FBD"/>
    <w:rsid w:val="1FC603B6"/>
    <w:rsid w:val="1FD87518"/>
    <w:rsid w:val="1FF145DA"/>
    <w:rsid w:val="201024FC"/>
    <w:rsid w:val="201F2810"/>
    <w:rsid w:val="20493FA2"/>
    <w:rsid w:val="20516664"/>
    <w:rsid w:val="2083697D"/>
    <w:rsid w:val="20864199"/>
    <w:rsid w:val="20C427AF"/>
    <w:rsid w:val="20EB654C"/>
    <w:rsid w:val="215D6E95"/>
    <w:rsid w:val="218C4F43"/>
    <w:rsid w:val="21DB1488"/>
    <w:rsid w:val="22060ECC"/>
    <w:rsid w:val="225579AD"/>
    <w:rsid w:val="227730DF"/>
    <w:rsid w:val="227871CD"/>
    <w:rsid w:val="22E314C6"/>
    <w:rsid w:val="23687B7B"/>
    <w:rsid w:val="24132313"/>
    <w:rsid w:val="24282FAE"/>
    <w:rsid w:val="248862A3"/>
    <w:rsid w:val="24E96AD1"/>
    <w:rsid w:val="24EA3F42"/>
    <w:rsid w:val="25A24B69"/>
    <w:rsid w:val="25AC4D53"/>
    <w:rsid w:val="260867D2"/>
    <w:rsid w:val="26691C6C"/>
    <w:rsid w:val="268A3573"/>
    <w:rsid w:val="269167D2"/>
    <w:rsid w:val="26C11524"/>
    <w:rsid w:val="26EB1FAE"/>
    <w:rsid w:val="26F34ED8"/>
    <w:rsid w:val="272E5922"/>
    <w:rsid w:val="273E3C8B"/>
    <w:rsid w:val="27664C9C"/>
    <w:rsid w:val="27976C78"/>
    <w:rsid w:val="27A77761"/>
    <w:rsid w:val="27D40DAB"/>
    <w:rsid w:val="280569D3"/>
    <w:rsid w:val="28446642"/>
    <w:rsid w:val="285406FD"/>
    <w:rsid w:val="28715927"/>
    <w:rsid w:val="287E516A"/>
    <w:rsid w:val="288E14D4"/>
    <w:rsid w:val="28981F7C"/>
    <w:rsid w:val="28D37D89"/>
    <w:rsid w:val="28D50BA4"/>
    <w:rsid w:val="294A2798"/>
    <w:rsid w:val="2991395E"/>
    <w:rsid w:val="29C13AB0"/>
    <w:rsid w:val="29FF6D96"/>
    <w:rsid w:val="2A395117"/>
    <w:rsid w:val="2A5A4ED7"/>
    <w:rsid w:val="2A602C2D"/>
    <w:rsid w:val="2A6C507A"/>
    <w:rsid w:val="2A910DAF"/>
    <w:rsid w:val="2AB41997"/>
    <w:rsid w:val="2AF3532F"/>
    <w:rsid w:val="2B030140"/>
    <w:rsid w:val="2B2D6DF2"/>
    <w:rsid w:val="2B305824"/>
    <w:rsid w:val="2B5D257F"/>
    <w:rsid w:val="2B710EC2"/>
    <w:rsid w:val="2BFC70BA"/>
    <w:rsid w:val="2C00759A"/>
    <w:rsid w:val="2C406B7A"/>
    <w:rsid w:val="2C515028"/>
    <w:rsid w:val="2C8C0F56"/>
    <w:rsid w:val="2D1146C7"/>
    <w:rsid w:val="2D337751"/>
    <w:rsid w:val="2D395ADE"/>
    <w:rsid w:val="2D3D454F"/>
    <w:rsid w:val="2D650079"/>
    <w:rsid w:val="2D7A1A54"/>
    <w:rsid w:val="2DA871DE"/>
    <w:rsid w:val="2DF179C5"/>
    <w:rsid w:val="2E1A31B7"/>
    <w:rsid w:val="2F4715AD"/>
    <w:rsid w:val="2F8A5974"/>
    <w:rsid w:val="2FCB5A2D"/>
    <w:rsid w:val="2FDA0C50"/>
    <w:rsid w:val="30086693"/>
    <w:rsid w:val="300F1BD4"/>
    <w:rsid w:val="30230199"/>
    <w:rsid w:val="30A60FCE"/>
    <w:rsid w:val="31052FAE"/>
    <w:rsid w:val="31E47FC6"/>
    <w:rsid w:val="31E763CE"/>
    <w:rsid w:val="321F0D0A"/>
    <w:rsid w:val="32BF0663"/>
    <w:rsid w:val="330951CA"/>
    <w:rsid w:val="33211A27"/>
    <w:rsid w:val="335C3678"/>
    <w:rsid w:val="33BA54F7"/>
    <w:rsid w:val="33D271E3"/>
    <w:rsid w:val="3404287F"/>
    <w:rsid w:val="34364021"/>
    <w:rsid w:val="3441775E"/>
    <w:rsid w:val="34581872"/>
    <w:rsid w:val="34FF6E95"/>
    <w:rsid w:val="3512733A"/>
    <w:rsid w:val="35231F4B"/>
    <w:rsid w:val="35501D00"/>
    <w:rsid w:val="35770A62"/>
    <w:rsid w:val="35A1373B"/>
    <w:rsid w:val="36005324"/>
    <w:rsid w:val="36674FA9"/>
    <w:rsid w:val="36C60143"/>
    <w:rsid w:val="37271DDD"/>
    <w:rsid w:val="37665793"/>
    <w:rsid w:val="38423D70"/>
    <w:rsid w:val="38DA421C"/>
    <w:rsid w:val="39E921B1"/>
    <w:rsid w:val="3A126D96"/>
    <w:rsid w:val="3A1D0F28"/>
    <w:rsid w:val="3A773E6B"/>
    <w:rsid w:val="3B7069B2"/>
    <w:rsid w:val="3B9B1BD5"/>
    <w:rsid w:val="3BA06811"/>
    <w:rsid w:val="3C0E1EF7"/>
    <w:rsid w:val="3C6F1540"/>
    <w:rsid w:val="3C9B4384"/>
    <w:rsid w:val="3C9F4038"/>
    <w:rsid w:val="3CA7410A"/>
    <w:rsid w:val="3D832E67"/>
    <w:rsid w:val="3DAC4DF6"/>
    <w:rsid w:val="3DBB4663"/>
    <w:rsid w:val="3DF15715"/>
    <w:rsid w:val="3E252294"/>
    <w:rsid w:val="3E365532"/>
    <w:rsid w:val="3E6F2409"/>
    <w:rsid w:val="3E902D2D"/>
    <w:rsid w:val="3EBB24F4"/>
    <w:rsid w:val="3EDA40EF"/>
    <w:rsid w:val="3F660B7C"/>
    <w:rsid w:val="3F6D2CA5"/>
    <w:rsid w:val="3FBE2D04"/>
    <w:rsid w:val="40081C22"/>
    <w:rsid w:val="40595DCF"/>
    <w:rsid w:val="40747CDF"/>
    <w:rsid w:val="40E65DB3"/>
    <w:rsid w:val="413A52EE"/>
    <w:rsid w:val="41B60536"/>
    <w:rsid w:val="41DC6D41"/>
    <w:rsid w:val="41EF3FFD"/>
    <w:rsid w:val="420C21FA"/>
    <w:rsid w:val="429270B0"/>
    <w:rsid w:val="42A8142E"/>
    <w:rsid w:val="430E12B3"/>
    <w:rsid w:val="43934CE2"/>
    <w:rsid w:val="43EB0A22"/>
    <w:rsid w:val="44FB7CFD"/>
    <w:rsid w:val="45800795"/>
    <w:rsid w:val="45DB6DC5"/>
    <w:rsid w:val="45E37BED"/>
    <w:rsid w:val="45E81606"/>
    <w:rsid w:val="46455B49"/>
    <w:rsid w:val="464B73A1"/>
    <w:rsid w:val="466F4F2A"/>
    <w:rsid w:val="46965E19"/>
    <w:rsid w:val="46BD2658"/>
    <w:rsid w:val="470D6D3B"/>
    <w:rsid w:val="47146145"/>
    <w:rsid w:val="478A6C24"/>
    <w:rsid w:val="480B4CB0"/>
    <w:rsid w:val="485B537E"/>
    <w:rsid w:val="487B0700"/>
    <w:rsid w:val="488E6D77"/>
    <w:rsid w:val="49022E4A"/>
    <w:rsid w:val="49144FF6"/>
    <w:rsid w:val="491C1F09"/>
    <w:rsid w:val="49976D27"/>
    <w:rsid w:val="49D626D3"/>
    <w:rsid w:val="4A191E6A"/>
    <w:rsid w:val="4A1D5B6F"/>
    <w:rsid w:val="4A3235BB"/>
    <w:rsid w:val="4A9E145E"/>
    <w:rsid w:val="4AB13C34"/>
    <w:rsid w:val="4BAF6333"/>
    <w:rsid w:val="4C601097"/>
    <w:rsid w:val="4C9D5135"/>
    <w:rsid w:val="4CD90174"/>
    <w:rsid w:val="4D1345E4"/>
    <w:rsid w:val="4D1C4A50"/>
    <w:rsid w:val="4D2F6523"/>
    <w:rsid w:val="4D490C4D"/>
    <w:rsid w:val="4D5A581C"/>
    <w:rsid w:val="4D5E22C0"/>
    <w:rsid w:val="4D7754A2"/>
    <w:rsid w:val="4D7A4FB8"/>
    <w:rsid w:val="4D8E19A0"/>
    <w:rsid w:val="4DA55D30"/>
    <w:rsid w:val="4DAA5B8C"/>
    <w:rsid w:val="4DC60B4D"/>
    <w:rsid w:val="4DF0088B"/>
    <w:rsid w:val="4E115B3F"/>
    <w:rsid w:val="4E2D7BD6"/>
    <w:rsid w:val="4E6826BE"/>
    <w:rsid w:val="4EB7159F"/>
    <w:rsid w:val="4EC3336A"/>
    <w:rsid w:val="4ED23221"/>
    <w:rsid w:val="4EEA3112"/>
    <w:rsid w:val="4F974FF4"/>
    <w:rsid w:val="4FB15640"/>
    <w:rsid w:val="4FBF0918"/>
    <w:rsid w:val="4FC43A62"/>
    <w:rsid w:val="50080648"/>
    <w:rsid w:val="506158B2"/>
    <w:rsid w:val="50810D3C"/>
    <w:rsid w:val="50975F7B"/>
    <w:rsid w:val="50C82BD2"/>
    <w:rsid w:val="51071900"/>
    <w:rsid w:val="510D2FA2"/>
    <w:rsid w:val="5122564C"/>
    <w:rsid w:val="513A68CC"/>
    <w:rsid w:val="519342C5"/>
    <w:rsid w:val="519B7FF9"/>
    <w:rsid w:val="51FE5BC1"/>
    <w:rsid w:val="523C1120"/>
    <w:rsid w:val="52E5694B"/>
    <w:rsid w:val="52E64127"/>
    <w:rsid w:val="53514FDE"/>
    <w:rsid w:val="54274B0B"/>
    <w:rsid w:val="5462540C"/>
    <w:rsid w:val="546A43F2"/>
    <w:rsid w:val="54E71B3F"/>
    <w:rsid w:val="55793C12"/>
    <w:rsid w:val="557D1755"/>
    <w:rsid w:val="5618771F"/>
    <w:rsid w:val="564D42FE"/>
    <w:rsid w:val="56DF4867"/>
    <w:rsid w:val="575D0712"/>
    <w:rsid w:val="57640045"/>
    <w:rsid w:val="57CF2A87"/>
    <w:rsid w:val="57CF5E03"/>
    <w:rsid w:val="57DB418E"/>
    <w:rsid w:val="57EB716D"/>
    <w:rsid w:val="58C9773A"/>
    <w:rsid w:val="58DD6139"/>
    <w:rsid w:val="590747C2"/>
    <w:rsid w:val="5924729B"/>
    <w:rsid w:val="597535E1"/>
    <w:rsid w:val="598849FE"/>
    <w:rsid w:val="59BA01FA"/>
    <w:rsid w:val="59D4783A"/>
    <w:rsid w:val="5A022A15"/>
    <w:rsid w:val="5A300320"/>
    <w:rsid w:val="5A3D57B1"/>
    <w:rsid w:val="5A704A35"/>
    <w:rsid w:val="5A7C3FC3"/>
    <w:rsid w:val="5A991369"/>
    <w:rsid w:val="5ABB657F"/>
    <w:rsid w:val="5ADD527F"/>
    <w:rsid w:val="5AE601AD"/>
    <w:rsid w:val="5B1E4567"/>
    <w:rsid w:val="5B4C00E7"/>
    <w:rsid w:val="5B57674C"/>
    <w:rsid w:val="5B9A42A8"/>
    <w:rsid w:val="5BB74483"/>
    <w:rsid w:val="5C1A089D"/>
    <w:rsid w:val="5C4913C5"/>
    <w:rsid w:val="5C5116DD"/>
    <w:rsid w:val="5C835161"/>
    <w:rsid w:val="5C9F0C39"/>
    <w:rsid w:val="5D2020B8"/>
    <w:rsid w:val="5D2E2F04"/>
    <w:rsid w:val="5DFC00C5"/>
    <w:rsid w:val="5E5C09A1"/>
    <w:rsid w:val="5ED57E31"/>
    <w:rsid w:val="5F636006"/>
    <w:rsid w:val="5FFF6025"/>
    <w:rsid w:val="60204C44"/>
    <w:rsid w:val="60533AFC"/>
    <w:rsid w:val="60617ACB"/>
    <w:rsid w:val="60D0568C"/>
    <w:rsid w:val="60E10353"/>
    <w:rsid w:val="611863A9"/>
    <w:rsid w:val="614925FC"/>
    <w:rsid w:val="61A83900"/>
    <w:rsid w:val="61B07C8E"/>
    <w:rsid w:val="61C54A9B"/>
    <w:rsid w:val="6203009F"/>
    <w:rsid w:val="62AF7325"/>
    <w:rsid w:val="643308A1"/>
    <w:rsid w:val="644979AE"/>
    <w:rsid w:val="65E6257F"/>
    <w:rsid w:val="660772CC"/>
    <w:rsid w:val="6620117D"/>
    <w:rsid w:val="663B4737"/>
    <w:rsid w:val="66500EDC"/>
    <w:rsid w:val="66F33A65"/>
    <w:rsid w:val="67542A29"/>
    <w:rsid w:val="67BB7B90"/>
    <w:rsid w:val="681755AB"/>
    <w:rsid w:val="6827325F"/>
    <w:rsid w:val="689D1A69"/>
    <w:rsid w:val="68CD0061"/>
    <w:rsid w:val="69347A8B"/>
    <w:rsid w:val="69D358D0"/>
    <w:rsid w:val="6A345672"/>
    <w:rsid w:val="6A377683"/>
    <w:rsid w:val="6A3C10A1"/>
    <w:rsid w:val="6BC74142"/>
    <w:rsid w:val="6C54548F"/>
    <w:rsid w:val="6CAB1445"/>
    <w:rsid w:val="6CD26A9E"/>
    <w:rsid w:val="6CE570B2"/>
    <w:rsid w:val="6CFD04E8"/>
    <w:rsid w:val="6D214A6A"/>
    <w:rsid w:val="6D28185C"/>
    <w:rsid w:val="6D3234C3"/>
    <w:rsid w:val="6D3754CC"/>
    <w:rsid w:val="6D78704F"/>
    <w:rsid w:val="6D9722BC"/>
    <w:rsid w:val="6DBD5F14"/>
    <w:rsid w:val="6E246BB6"/>
    <w:rsid w:val="6E3C2437"/>
    <w:rsid w:val="6EA9312A"/>
    <w:rsid w:val="6EBA47F8"/>
    <w:rsid w:val="6ECA027A"/>
    <w:rsid w:val="6ED96EFB"/>
    <w:rsid w:val="6F6C275E"/>
    <w:rsid w:val="6FB240E8"/>
    <w:rsid w:val="6FC17165"/>
    <w:rsid w:val="6FCE0F27"/>
    <w:rsid w:val="6FDC5B51"/>
    <w:rsid w:val="700A5390"/>
    <w:rsid w:val="70706C4F"/>
    <w:rsid w:val="7098451B"/>
    <w:rsid w:val="70DB7A97"/>
    <w:rsid w:val="70F34A3B"/>
    <w:rsid w:val="70F661F8"/>
    <w:rsid w:val="71025A7D"/>
    <w:rsid w:val="71154237"/>
    <w:rsid w:val="72B126C0"/>
    <w:rsid w:val="72E511A1"/>
    <w:rsid w:val="73067A8E"/>
    <w:rsid w:val="73090708"/>
    <w:rsid w:val="73793115"/>
    <w:rsid w:val="73E33C2B"/>
    <w:rsid w:val="741B6D95"/>
    <w:rsid w:val="74514434"/>
    <w:rsid w:val="74947190"/>
    <w:rsid w:val="74AB244F"/>
    <w:rsid w:val="74C15243"/>
    <w:rsid w:val="74C2564B"/>
    <w:rsid w:val="74E24873"/>
    <w:rsid w:val="75E65E53"/>
    <w:rsid w:val="76373B29"/>
    <w:rsid w:val="763A3F05"/>
    <w:rsid w:val="764D083D"/>
    <w:rsid w:val="768669C3"/>
    <w:rsid w:val="772C7F78"/>
    <w:rsid w:val="776945CB"/>
    <w:rsid w:val="7785191B"/>
    <w:rsid w:val="77CD2678"/>
    <w:rsid w:val="7814467D"/>
    <w:rsid w:val="78383E41"/>
    <w:rsid w:val="788E779D"/>
    <w:rsid w:val="79125028"/>
    <w:rsid w:val="792752BE"/>
    <w:rsid w:val="799A3D2C"/>
    <w:rsid w:val="7A185835"/>
    <w:rsid w:val="7A6010E0"/>
    <w:rsid w:val="7A7C3F21"/>
    <w:rsid w:val="7A87326D"/>
    <w:rsid w:val="7B0F38B5"/>
    <w:rsid w:val="7B472983"/>
    <w:rsid w:val="7B770CD8"/>
    <w:rsid w:val="7BC87F42"/>
    <w:rsid w:val="7BD069D0"/>
    <w:rsid w:val="7C4600FC"/>
    <w:rsid w:val="7C4A1CDF"/>
    <w:rsid w:val="7C4D2D44"/>
    <w:rsid w:val="7C5B02B2"/>
    <w:rsid w:val="7C6116E2"/>
    <w:rsid w:val="7C764110"/>
    <w:rsid w:val="7C9D1874"/>
    <w:rsid w:val="7CCB564F"/>
    <w:rsid w:val="7CF16C98"/>
    <w:rsid w:val="7CF57EE1"/>
    <w:rsid w:val="7D4365E4"/>
    <w:rsid w:val="7D636F74"/>
    <w:rsid w:val="7DAB2999"/>
    <w:rsid w:val="7DAC6C28"/>
    <w:rsid w:val="7DB9477B"/>
    <w:rsid w:val="7DEBCAFF"/>
    <w:rsid w:val="7E2C5623"/>
    <w:rsid w:val="7E403226"/>
    <w:rsid w:val="7E403E8C"/>
    <w:rsid w:val="7EAF722D"/>
    <w:rsid w:val="7ECE65A3"/>
    <w:rsid w:val="7F6E21E0"/>
    <w:rsid w:val="7F935C61"/>
    <w:rsid w:val="7F971C48"/>
    <w:rsid w:val="7FA81F6F"/>
    <w:rsid w:val="7FAC36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3748</Words>
  <Characters>3804</Characters>
  <Lines>27</Lines>
  <Paragraphs>7</Paragraphs>
  <TotalTime>9</TotalTime>
  <ScaleCrop>false</ScaleCrop>
  <LinksUpToDate>false</LinksUpToDate>
  <CharactersWithSpaces>3833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2022-02-15T01:45:42Z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