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sz w:val="84"/>
          <w:szCs w:val="84"/>
          <w:lang w:val="en-US" w:eastAsia="zh-CN"/>
        </w:rPr>
      </w:pPr>
    </w:p>
    <w:p>
      <w:pPr>
        <w:jc w:val="center"/>
        <w:rPr>
          <w:rFonts w:hint="eastAsia"/>
          <w:sz w:val="84"/>
          <w:szCs w:val="84"/>
          <w:lang w:val="en-US" w:eastAsia="zh-CN"/>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三亚市育才那受小学单位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机构设置情况</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lang w:val="en-US" w:eastAsia="zh-CN"/>
        </w:rPr>
        <w:t>2022</w:t>
      </w:r>
      <w:r>
        <w:rPr>
          <w:rFonts w:hint="eastAsia" w:ascii="黑体" w:hAnsi="黑体" w:eastAsia="黑体"/>
          <w:sz w:val="32"/>
          <w:szCs w:val="32"/>
        </w:rPr>
        <w:t>年单位预算情况说明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sz w:val="32"/>
          <w:szCs w:val="32"/>
        </w:rPr>
        <w:t>概况</w:t>
      </w:r>
    </w:p>
    <w:p>
      <w:pPr>
        <w:jc w:val="left"/>
        <w:rPr>
          <w:rFonts w:hint="eastAsia" w:ascii="黑体" w:hAnsi="黑体" w:eastAsia="黑体" w:cs="黑体"/>
          <w:sz w:val="32"/>
          <w:szCs w:val="32"/>
        </w:rPr>
      </w:pPr>
    </w:p>
    <w:p>
      <w:pPr>
        <w:pStyle w:val="5"/>
        <w:numPr>
          <w:ilvl w:val="0"/>
          <w:numId w:val="5"/>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实施小学义务教育，促进基础教育发展。</w:t>
      </w:r>
    </w:p>
    <w:p>
      <w:pPr>
        <w:pStyle w:val="5"/>
        <w:numPr>
          <w:ilvl w:val="0"/>
          <w:numId w:val="0"/>
        </w:numPr>
        <w:ind w:leftChars="0"/>
        <w:jc w:val="left"/>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二、机构设置情况</w:t>
      </w:r>
    </w:p>
    <w:p>
      <w:pPr>
        <w:pStyle w:val="5"/>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三亚市育才那受小学设4个内设机构，事业编制9名，设校长1名，部门主任3名。</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纳入三亚市育才生态区管理委员会部门2022年部门预算编制范围的预算单位为三亚市育才那受小学。</w:t>
      </w:r>
    </w:p>
    <w:p>
      <w:pPr>
        <w:pStyle w:val="5"/>
        <w:numPr>
          <w:ilvl w:val="0"/>
          <w:numId w:val="0"/>
        </w:numPr>
        <w:ind w:left="0" w:firstLine="640" w:firstLineChars="0"/>
        <w:jc w:val="both"/>
        <w:rPr>
          <w:rFonts w:hint="eastAsia" w:ascii="仿宋" w:hAnsi="仿宋" w:eastAsia="仿宋" w:cs="仿宋"/>
          <w:color w:val="auto"/>
          <w:sz w:val="32"/>
          <w:szCs w:val="32"/>
          <w:lang w:val="en-US" w:eastAsia="zh-CN"/>
        </w:rPr>
      </w:pP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pStyle w:val="5"/>
        <w:numPr>
          <w:ilvl w:val="0"/>
          <w:numId w:val="0"/>
        </w:numPr>
        <w:ind w:left="0" w:firstLine="640" w:firstLineChars="0"/>
        <w:jc w:val="both"/>
        <w:rPr>
          <w:rFonts w:hint="eastAsia" w:ascii="仿宋_GB2312" w:hAnsi="黑体" w:eastAsia="仿宋_GB2312" w:cs="仿宋_GB2312"/>
          <w:kern w:val="2"/>
          <w:sz w:val="32"/>
          <w:szCs w:val="32"/>
          <w:lang w:val="en-US" w:eastAsia="zh-CN" w:bidi="ar-SA"/>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年单位预算表</w:t>
      </w:r>
    </w:p>
    <w:p>
      <w:pPr>
        <w:keepNext w:val="0"/>
        <w:keepLines w:val="0"/>
        <w:pageBreakBefore w:val="0"/>
        <w:widowControl w:val="0"/>
        <w:kinsoku/>
        <w:wordWrap/>
        <w:overflowPunct/>
        <w:topLinePunct w:val="0"/>
        <w:autoSpaceDE/>
        <w:autoSpaceDN/>
        <w:bidi w:val="0"/>
        <w:adjustRightInd/>
        <w:snapToGrid/>
        <w:ind w:right="0" w:rightChars="0" w:firstLine="0" w:firstLineChars="0"/>
        <w:jc w:val="center"/>
        <w:textAlignment w:val="auto"/>
        <w:outlineLvl w:val="9"/>
        <w:rPr>
          <w:rFonts w:ascii="黑体" w:hAnsi="黑体" w:eastAsia="黑体"/>
          <w:sz w:val="32"/>
          <w:szCs w:val="32"/>
        </w:rPr>
      </w:pPr>
      <w:r>
        <w:rPr>
          <w:rFonts w:hint="eastAsia" w:ascii="仿宋" w:hAnsi="仿宋" w:eastAsia="仿宋"/>
          <w:bCs/>
          <w:sz w:val="32"/>
          <w:szCs w:val="32"/>
        </w:rPr>
        <w:t>此表详见附件</w:t>
      </w:r>
      <w:r>
        <w:rPr>
          <w:rFonts w:hint="eastAsia" w:ascii="仿宋" w:hAnsi="仿宋" w:eastAsia="仿宋"/>
          <w:bCs/>
          <w:sz w:val="32"/>
          <w:szCs w:val="32"/>
          <w:lang w:val="en-US" w:eastAsia="zh-CN"/>
        </w:rPr>
        <w:t>1</w:t>
      </w: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万元，包括教育支出</w:t>
      </w:r>
      <w:r>
        <w:rPr>
          <w:rFonts w:hint="eastAsia" w:ascii="仿宋_GB2312" w:hAnsi="黑体" w:eastAsia="仿宋_GB2312" w:cs="仿宋_GB2312"/>
          <w:sz w:val="32"/>
          <w:szCs w:val="32"/>
        </w:rPr>
        <w:t>164.33</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12.95</w:t>
      </w:r>
      <w:r>
        <w:rPr>
          <w:rFonts w:hint="eastAsia" w:ascii="仿宋_GB2312" w:hAnsi="黑体" w:eastAsia="仿宋_GB2312"/>
          <w:sz w:val="32"/>
          <w:szCs w:val="32"/>
        </w:rPr>
        <w:t>万元、卫生健康支出</w:t>
      </w:r>
      <w:r>
        <w:rPr>
          <w:rFonts w:hint="eastAsia" w:ascii="仿宋_GB2312" w:hAnsi="黑体" w:eastAsia="仿宋_GB2312" w:cs="仿宋_GB2312"/>
          <w:sz w:val="32"/>
          <w:szCs w:val="32"/>
        </w:rPr>
        <w:t>45.25</w:t>
      </w:r>
      <w:r>
        <w:rPr>
          <w:rFonts w:hint="eastAsia" w:ascii="仿宋_GB2312" w:hAnsi="黑体" w:eastAsia="仿宋_GB2312"/>
          <w:sz w:val="32"/>
          <w:szCs w:val="32"/>
        </w:rPr>
        <w:t>万元、住房保障支出10.04</w:t>
      </w:r>
      <w:r>
        <w:rPr>
          <w:rFonts w:hint="eastAsia" w:ascii="仿宋_GB2312" w:hAnsi="黑体" w:eastAsia="仿宋_GB2312"/>
          <w:sz w:val="32"/>
          <w:szCs w:val="32"/>
          <w:lang w:val="en-US"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三亚市育才那受小学</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在人员薪资增长，基本工资、绩效工资及津贴补贴等预算也增加指标。</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教育支出</w:t>
      </w:r>
      <w:r>
        <w:rPr>
          <w:rFonts w:hint="eastAsia" w:ascii="仿宋_GB2312" w:hAnsi="黑体" w:eastAsia="仿宋_GB2312" w:cs="仿宋_GB2312"/>
          <w:sz w:val="32"/>
          <w:szCs w:val="32"/>
        </w:rPr>
        <w:t>支出164.33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70.66</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5.57</w:t>
      </w:r>
      <w:r>
        <w:rPr>
          <w:rFonts w:hint="eastAsia" w:ascii="仿宋_GB2312" w:hAnsi="黑体" w:eastAsia="仿宋_GB2312"/>
          <w:sz w:val="32"/>
          <w:szCs w:val="32"/>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45.25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19.46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10.04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4.31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1.教育（类）普通教育（款）小学教育（项）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164.33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人员增加，工资福利支出增加了预算。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2.社会保障和就业</w:t>
      </w:r>
      <w:r>
        <w:rPr>
          <w:rFonts w:hint="eastAsia" w:ascii="仿宋_GB2312" w:hAnsi="黑体" w:eastAsia="仿宋_GB2312" w:cs="仿宋_GB2312"/>
          <w:sz w:val="32"/>
          <w:szCs w:val="32"/>
        </w:rPr>
        <w:t>（类）行政事业单位养老（款）机关事业单位基本养老保险缴费（项）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.卫生健康（类）行政事业单位医疗（款）事业单位医疗（项）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医疗保险基数逐年增加。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4.</w:t>
      </w:r>
      <w:r>
        <w:rPr>
          <w:rFonts w:hint="eastAsia" w:ascii="仿宋_GB2312" w:hAnsi="黑体" w:eastAsia="仿宋_GB2312" w:cs="仿宋_GB2312"/>
          <w:sz w:val="32"/>
          <w:szCs w:val="32"/>
        </w:rPr>
        <w:t>卫生健康（类）行政事业单位医疗（款）公务员医疗补助（项）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38.37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24.82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上年公补指标严重不足及人员增加，因此本年度适当增加预算指标。</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5.</w:t>
      </w:r>
      <w:r>
        <w:rPr>
          <w:rFonts w:hint="eastAsia" w:ascii="仿宋_GB2312" w:hAnsi="黑体" w:eastAsia="仿宋_GB2312" w:cs="仿宋_GB2312"/>
          <w:sz w:val="32"/>
          <w:szCs w:val="32"/>
        </w:rPr>
        <w:t>住房保障（类）住房改革（款）住房公积金（项）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10.04</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万元，主要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219.57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206.98</w:t>
      </w:r>
      <w:r>
        <w:rPr>
          <w:rFonts w:hint="eastAsia" w:ascii="仿宋_GB2312" w:hAnsi="黑体" w:eastAsia="仿宋_GB2312"/>
          <w:sz w:val="32"/>
          <w:szCs w:val="32"/>
        </w:rPr>
        <w:t>万元，主要包括：基本工资、津贴补贴、奖金、社会保障缴费、住房公积金</w:t>
      </w:r>
      <w:r>
        <w:rPr>
          <w:rFonts w:hint="eastAsia" w:ascii="仿宋_GB2312" w:hAnsi="黑体" w:eastAsia="仿宋_GB2312"/>
          <w:sz w:val="32"/>
          <w:szCs w:val="32"/>
          <w:lang w:eastAsia="zh-CN"/>
        </w:rPr>
        <w:t>、邮电费、奖励金</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12.59</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、工会经费、福利费、其他商品和服务支出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（一）三亚市育才</w:t>
      </w:r>
      <w:r>
        <w:rPr>
          <w:rFonts w:hint="eastAsia" w:ascii="仿宋_GB2312" w:hAnsi="黑体" w:eastAsia="仿宋_GB2312"/>
          <w:color w:val="auto"/>
          <w:sz w:val="32"/>
          <w:szCs w:val="32"/>
          <w:lang w:eastAsia="zh-CN"/>
        </w:rPr>
        <w:t>那受</w:t>
      </w:r>
      <w:r>
        <w:rPr>
          <w:rFonts w:hint="eastAsia" w:ascii="仿宋_GB2312" w:hAnsi="黑体" w:eastAsia="仿宋_GB2312"/>
          <w:color w:val="auto"/>
          <w:sz w:val="32"/>
          <w:szCs w:val="32"/>
        </w:rPr>
        <w:t>小学2022年一般公共预算“三公”经费预算数为0万元，与上年预算持平。</w:t>
      </w:r>
    </w:p>
    <w:p>
      <w:pPr>
        <w:ind w:firstLine="640" w:firstLineChars="200"/>
        <w:rPr>
          <w:rFonts w:hint="eastAsia" w:ascii="仿宋" w:hAnsi="仿宋" w:eastAsia="仿宋"/>
          <w:color w:val="FF0000"/>
          <w:sz w:val="32"/>
          <w:szCs w:val="32"/>
          <w:lang w:eastAsia="zh-CN"/>
        </w:rPr>
      </w:pPr>
      <w:r>
        <w:rPr>
          <w:rFonts w:hint="eastAsia" w:ascii="仿宋_GB2312" w:hAnsi="黑体" w:eastAsia="仿宋_GB2312"/>
          <w:color w:val="auto"/>
          <w:sz w:val="32"/>
          <w:szCs w:val="32"/>
        </w:rPr>
        <w:t>（二）三亚市育才</w:t>
      </w:r>
      <w:r>
        <w:rPr>
          <w:rFonts w:hint="eastAsia" w:ascii="仿宋_GB2312" w:hAnsi="黑体" w:eastAsia="仿宋_GB2312"/>
          <w:color w:val="auto"/>
          <w:sz w:val="32"/>
          <w:szCs w:val="32"/>
          <w:lang w:eastAsia="zh-CN"/>
        </w:rPr>
        <w:t>那受</w:t>
      </w:r>
      <w:r>
        <w:rPr>
          <w:rFonts w:hint="eastAsia" w:ascii="仿宋_GB2312" w:hAnsi="黑体" w:eastAsia="仿宋_GB2312"/>
          <w:color w:val="auto"/>
          <w:sz w:val="32"/>
          <w:szCs w:val="32"/>
        </w:rPr>
        <w:t>小学2022年政府性基金预算“三公”经费预算数为0万，与上年预算持平。</w:t>
      </w:r>
    </w:p>
    <w:p>
      <w:pPr>
        <w:numPr>
          <w:ilvl w:val="0"/>
          <w:numId w:val="6"/>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rPr>
        <w:t>（一）政府性基金预算当年规模变化情况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三亚市育才</w:t>
      </w:r>
      <w:r>
        <w:rPr>
          <w:rFonts w:hint="eastAsia" w:ascii="仿宋_GB2312" w:hAnsi="黑体" w:eastAsia="仿宋_GB2312" w:cs="仿宋_GB2312"/>
          <w:color w:val="auto"/>
          <w:sz w:val="32"/>
          <w:szCs w:val="32"/>
          <w:lang w:eastAsia="zh-CN"/>
        </w:rPr>
        <w:t>那受</w:t>
      </w:r>
      <w:r>
        <w:rPr>
          <w:rFonts w:hint="eastAsia" w:ascii="仿宋_GB2312" w:hAnsi="黑体" w:eastAsia="仿宋_GB2312" w:cs="仿宋_GB2312"/>
          <w:color w:val="auto"/>
          <w:sz w:val="32"/>
          <w:szCs w:val="32"/>
        </w:rPr>
        <w:t>小学2022年政府性基金预算当年拨款0万元，与上年预算数持平。</w:t>
      </w:r>
      <w:bookmarkStart w:id="0" w:name="_GoBack"/>
      <w:bookmarkEnd w:id="0"/>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（二）政府性基金预算当年拨款结构情况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（三）政府性基金预算当年拨款具体使用情况</w:t>
      </w:r>
      <w:r>
        <w:rPr>
          <w:rFonts w:hint="eastAsia" w:ascii="仿宋_GB2312" w:hAnsi="黑体" w:eastAsia="仿宋_GB2312" w:cs="仿宋_GB2312"/>
          <w:color w:val="auto"/>
          <w:sz w:val="32"/>
          <w:szCs w:val="32"/>
        </w:rPr>
        <w:cr/>
      </w:r>
      <w:r>
        <w:rPr>
          <w:rFonts w:hint="eastAsia" w:ascii="仿宋_GB2312" w:hAnsi="黑体" w:eastAsia="仿宋_GB2312" w:cs="仿宋_GB2312"/>
          <w:color w:val="auto"/>
          <w:sz w:val="32"/>
          <w:szCs w:val="32"/>
        </w:rPr>
        <w:t xml:space="preserve">    无，与上年预算数持平。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社会保障和就业支出、卫生健康支出</w:t>
      </w:r>
      <w:r>
        <w:rPr>
          <w:rFonts w:hint="eastAsia" w:ascii="仿宋_GB2312" w:hAnsi="黑体" w:eastAsia="仿宋_GB2312"/>
          <w:sz w:val="32"/>
          <w:szCs w:val="32"/>
          <w:lang w:eastAsia="zh-CN"/>
        </w:rPr>
        <w:t>、住房保障支出。三亚市育才那受小学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在人员增加，基本工资、绩效工资及津贴补贴等逐年增加，预算也随着增加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三亚市育才那受小学</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黑体" w:hAnsi="黑体" w:eastAsia="黑体"/>
          <w:sz w:val="32"/>
          <w:szCs w:val="32"/>
        </w:rPr>
      </w:pPr>
      <w:r>
        <w:rPr>
          <w:rFonts w:hint="eastAsia" w:ascii="仿宋_GB2312" w:hAnsi="黑体" w:eastAsia="仿宋_GB2312"/>
          <w:sz w:val="32"/>
          <w:szCs w:val="32"/>
          <w:lang w:eastAsia="zh-CN"/>
        </w:rPr>
        <w:t>三亚市育才那受小学</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232.57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219.57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94.41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在人员薪资增长，基本工资、绩效工资及津贴补贴等逐年增加，预算也随着增加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三亚市育才那受小学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default" w:ascii="仿宋_GB2312" w:hAnsi="宋体" w:eastAsia="仿宋_GB2312" w:cs="宋体"/>
          <w:color w:val="000000"/>
          <w:kern w:val="0"/>
          <w:sz w:val="32"/>
          <w:szCs w:val="30"/>
          <w:lang w:val="en-US"/>
        </w:rPr>
      </w:pP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lang w:eastAsia="zh-CN"/>
        </w:rPr>
        <w:t>三亚市育才那受小学有</w:t>
      </w:r>
      <w:r>
        <w:rPr>
          <w:rFonts w:hint="eastAsia" w:ascii="仿宋_GB2312" w:hAnsi="黑体" w:eastAsia="仿宋_GB2312"/>
          <w:sz w:val="32"/>
          <w:szCs w:val="32"/>
          <w:lang w:val="en-US" w:eastAsia="zh-CN"/>
        </w:rPr>
        <w:t>10个项目实施绩效目标管， 涉及资金一般公共预算资金232.56万元。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6C453E"/>
    <w:multiLevelType w:val="singleLevel"/>
    <w:tmpl w:val="E96C453E"/>
    <w:lvl w:ilvl="0" w:tentative="0">
      <w:start w:val="5"/>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jN2VmYjMyZjg1NWNkNGYzZTk1MmQ1NDhjY2Y5MWYifQ=="/>
  </w:docVars>
  <w:rsids>
    <w:rsidRoot w:val="00000000"/>
    <w:rsid w:val="03A173F9"/>
    <w:rsid w:val="09BB1170"/>
    <w:rsid w:val="0DF02182"/>
    <w:rsid w:val="0F2E76E4"/>
    <w:rsid w:val="19A95A9A"/>
    <w:rsid w:val="22D525E5"/>
    <w:rsid w:val="28A5704A"/>
    <w:rsid w:val="2A190C47"/>
    <w:rsid w:val="32963424"/>
    <w:rsid w:val="377A5749"/>
    <w:rsid w:val="4737711D"/>
    <w:rsid w:val="4FFDD23D"/>
    <w:rsid w:val="5F024A52"/>
    <w:rsid w:val="6FFA3F29"/>
    <w:rsid w:val="75EC73D6"/>
    <w:rsid w:val="77FF148A"/>
    <w:rsid w:val="7EFF7DCF"/>
    <w:rsid w:val="7FB7BBEF"/>
    <w:rsid w:val="ADFEDDA9"/>
    <w:rsid w:val="DBD20466"/>
    <w:rsid w:val="F8D60019"/>
    <w:rsid w:val="FBEF9CA7"/>
    <w:rsid w:val="FFFF14C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2689</Words>
  <Characters>2983</Characters>
  <Lines>0</Lines>
  <Paragraphs>0</Paragraphs>
  <TotalTime>1</TotalTime>
  <ScaleCrop>false</ScaleCrop>
  <LinksUpToDate>false</LinksUpToDate>
  <CharactersWithSpaces>3010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user</cp:lastModifiedBy>
  <dcterms:modified xsi:type="dcterms:W3CDTF">2023-08-08T15:58:00Z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53D0854788894E0B8F9A4C7E800E1242</vt:lpwstr>
  </property>
</Properties>
</file>