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color w:val="auto"/>
          <w:highlight w:val="none"/>
          <w:lang w:val="en-US" w:eastAsia="zh-CN"/>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黑体" w:cs="Times New Roman"/>
          <w:color w:val="auto"/>
          <w:kern w:val="2"/>
          <w:sz w:val="44"/>
          <w:szCs w:val="44"/>
          <w:highlight w:val="none"/>
          <w:lang w:val="en-US" w:eastAsia="zh-CN" w:bidi="ar-SA"/>
        </w:rPr>
      </w:pPr>
      <w:r>
        <w:rPr>
          <w:rFonts w:hint="default" w:ascii="Times New Roman" w:hAnsi="Times New Roman" w:eastAsia="黑体" w:cs="Times New Roman"/>
          <w:color w:val="auto"/>
          <w:kern w:val="2"/>
          <w:sz w:val="44"/>
          <w:szCs w:val="44"/>
          <w:highlight w:val="none"/>
          <w:lang w:val="en-US" w:eastAsia="zh-CN" w:bidi="ar-SA"/>
        </w:rPr>
        <w:t>2021年三亚市中医院单位预算</w:t>
      </w: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7"/>
        <w:numPr>
          <w:ilvl w:val="0"/>
          <w:numId w:val="1"/>
        </w:numPr>
        <w:ind w:firstLineChars="0"/>
        <w:jc w:val="lef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三亚市中医院</w:t>
      </w:r>
      <w:r>
        <w:rPr>
          <w:rFonts w:hint="default" w:ascii="Times New Roman" w:hAnsi="Times New Roman" w:eastAsia="黑体" w:cs="Times New Roman"/>
          <w:sz w:val="32"/>
          <w:szCs w:val="32"/>
        </w:rPr>
        <w:t>概况</w:t>
      </w:r>
    </w:p>
    <w:p>
      <w:pPr>
        <w:pStyle w:val="7"/>
        <w:numPr>
          <w:ilvl w:val="0"/>
          <w:numId w:val="2"/>
        </w:numPr>
        <w:ind w:firstLineChars="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主要职能</w:t>
      </w:r>
    </w:p>
    <w:p>
      <w:pPr>
        <w:pStyle w:val="7"/>
        <w:numPr>
          <w:ilvl w:val="0"/>
          <w:numId w:val="2"/>
        </w:numPr>
        <w:ind w:firstLineChars="0"/>
        <w:jc w:val="lef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部门预算单位构成（单位公开没有这部分内容）</w:t>
      </w:r>
    </w:p>
    <w:p>
      <w:pPr>
        <w:pStyle w:val="7"/>
        <w:numPr>
          <w:ilvl w:val="0"/>
          <w:numId w:val="1"/>
        </w:numPr>
        <w:ind w:firstLineChars="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三亚市中医院</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年单位预算表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7"/>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7"/>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7"/>
        <w:numPr>
          <w:ilvl w:val="0"/>
          <w:numId w:val="1"/>
        </w:numPr>
        <w:ind w:firstLineChars="0"/>
        <w:jc w:val="left"/>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三亚市中医院</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年单位预算情况说明</w:t>
      </w:r>
    </w:p>
    <w:p>
      <w:pPr>
        <w:pStyle w:val="7"/>
        <w:numPr>
          <w:ilvl w:val="0"/>
          <w:numId w:val="1"/>
        </w:numPr>
        <w:ind w:firstLineChars="0"/>
        <w:jc w:val="left"/>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jc w:val="center"/>
        <w:rPr>
          <w:rFonts w:hint="default" w:ascii="Times New Roman" w:hAnsi="Times New Roman" w:eastAsia="宋体" w:cs="Times New Roman"/>
          <w:color w:val="auto"/>
          <w:sz w:val="52"/>
          <w:szCs w:val="52"/>
          <w:highlight w:val="none"/>
          <w:lang w:val="en-US" w:eastAsia="zh-CN"/>
        </w:rPr>
      </w:pPr>
    </w:p>
    <w:p>
      <w:pPr>
        <w:pStyle w:val="7"/>
        <w:widowControl w:val="0"/>
        <w:numPr>
          <w:ilvl w:val="0"/>
          <w:numId w:val="1"/>
        </w:numPr>
        <w:wordWrap/>
        <w:adjustRightInd/>
        <w:snapToGrid/>
        <w:spacing w:line="500" w:lineRule="exact"/>
        <w:ind w:firstLineChars="0"/>
        <w:jc w:val="center"/>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三亚市中医院概况</w:t>
      </w:r>
    </w:p>
    <w:p>
      <w:pPr>
        <w:pStyle w:val="7"/>
        <w:widowControl w:val="0"/>
        <w:numPr>
          <w:ilvl w:val="0"/>
          <w:numId w:val="0"/>
        </w:numPr>
        <w:wordWrap/>
        <w:adjustRightInd/>
        <w:snapToGrid/>
        <w:spacing w:line="500" w:lineRule="exact"/>
        <w:ind w:leftChars="0"/>
        <w:jc w:val="both"/>
        <w:textAlignment w:val="auto"/>
        <w:rPr>
          <w:rFonts w:hint="default" w:ascii="Times New Roman" w:hAnsi="Times New Roman" w:eastAsia="黑体" w:cs="Times New Roman"/>
          <w:color w:val="auto"/>
          <w:sz w:val="32"/>
          <w:szCs w:val="32"/>
          <w:highlight w:val="none"/>
        </w:rPr>
      </w:pPr>
    </w:p>
    <w:p>
      <w:pPr>
        <w:widowControl w:val="0"/>
        <w:wordWrap/>
        <w:adjustRightInd/>
        <w:snapToGrid/>
        <w:spacing w:line="5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一、主要职能</w:t>
      </w:r>
      <w:r>
        <w:rPr>
          <w:rFonts w:hint="default" w:ascii="Times New Roman" w:hAnsi="Times New Roman" w:eastAsia="微软雅黑" w:cs="Times New Roman"/>
          <w:i w:val="0"/>
          <w:caps w:val="0"/>
          <w:color w:val="auto"/>
          <w:spacing w:val="0"/>
          <w:kern w:val="0"/>
          <w:sz w:val="30"/>
          <w:szCs w:val="30"/>
          <w:highlight w:val="none"/>
          <w:shd w:val="clear" w:color="090000" w:fill="FFFFFF"/>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医疗与护理、医学教学、医学研究、专业人员培训。三亚市中医院位于吉阳区凤凰路106号，世界小姐选美赛址“美丽之冠”对面，面朝临春河，背靠凤凰山，环境优雅，是一家集医疗、教学、科研、保健、康复、传统医药国际交流与合作为一体的三级甲等中医医院。2008年，医院被批准为国家中医药管理局国际交流合作基地、对俄中医药合作协作组成员，被列为国家中医药服务贸易试点单位；2014年，医院被纳入国家首批中医药服务贸易先行先试骨干企业（机构）建设目录；2015年，医院入选中医药国际合作专项“中医药健康旅游示范基地建设单位”。2017年5月医院入选中医药传承创新工程“全国重点中医医院”储备库；2017年12月，三亚市中医院阿拉木图中医中心挂牌运营</w:t>
      </w: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；2018年</w:t>
      </w:r>
      <w:r>
        <w:rPr>
          <w:rFonts w:hint="default" w:ascii="Times New Roman" w:hAnsi="Times New Roman" w:eastAsia="仿宋_GB2312" w:cs="Times New Roman"/>
          <w:color w:val="auto"/>
          <w:kern w:val="2"/>
          <w:sz w:val="32"/>
          <w:szCs w:val="32"/>
          <w:highlight w:val="none"/>
          <w:lang w:val="en-US" w:eastAsia="zh-CN" w:bidi="ar-SA"/>
        </w:rPr>
        <w:t>4月，国家公布第一批中医药健康旅游示范基地医院榜上有名；2018年6月，医院再次入选中医药国际合作专项“中国-亚欧国家中医药疗养国际合作基地（海南）”。同时，医院积极开展中医药文化传播，现为全国中医药文化宣传教育基地和海南省中医药文化宣传教育基地。2019年，医院入选国家中医药服务出口基地。</w:t>
      </w:r>
    </w:p>
    <w:p>
      <w:pPr>
        <w:widowControl w:val="0"/>
        <w:wordWrap/>
        <w:adjustRightInd/>
        <w:snapToGrid/>
        <w:spacing w:line="5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医院始建于1991年，2008年整体从新风路搬迁至凤凰路，现院区占地45亩，总建筑面积55947.74平方米，编制床位630张。截</w:t>
      </w:r>
      <w:r>
        <w:rPr>
          <w:rFonts w:hint="eastAsia" w:ascii="Times New Roman" w:hAnsi="Times New Roman" w:eastAsia="仿宋_GB2312" w:cs="Times New Roman"/>
          <w:color w:val="auto"/>
          <w:kern w:val="2"/>
          <w:sz w:val="32"/>
          <w:szCs w:val="32"/>
          <w:highlight w:val="none"/>
          <w:lang w:val="en-US" w:eastAsia="zh-CN" w:bidi="ar-SA"/>
        </w:rPr>
        <w:t>至</w:t>
      </w:r>
      <w:bookmarkStart w:id="0" w:name="_GoBack"/>
      <w:bookmarkEnd w:id="0"/>
      <w:r>
        <w:rPr>
          <w:rFonts w:hint="default" w:ascii="Times New Roman" w:hAnsi="Times New Roman" w:eastAsia="仿宋_GB2312" w:cs="Times New Roman"/>
          <w:color w:val="auto"/>
          <w:kern w:val="2"/>
          <w:sz w:val="32"/>
          <w:szCs w:val="32"/>
          <w:highlight w:val="none"/>
          <w:lang w:val="en-US" w:eastAsia="zh-CN" w:bidi="ar-SA"/>
        </w:rPr>
        <w:t>目前，全院在岗人数691人，博士11人，硕士89人，正高职称27人，副高职称56人，中级职称191人。其中，全国名老中医专家、国务院特殊津贴专家1人，第六批全国老中医药专家学术经验指导老师2人，国家优秀中医临床研修人才2人，广州中医药大学博士研究生导师1人、硕士研究生导师6人，长春中医药大学硕士研究生导师1人，湖南中医药大学硕士研究生导师1人。</w:t>
      </w:r>
    </w:p>
    <w:p>
      <w:pPr>
        <w:widowControl w:val="0"/>
        <w:wordWrap/>
        <w:adjustRightInd/>
        <w:snapToGrid/>
        <w:spacing w:line="5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医院形成了10多个特色鲜明、疗效明显的专科，骨伤专科、脾胃病专科、脑病专科、针灸专科、肾病专科等是国家级和省级的重点专科。护理学、临床药学、治未病科为国家中医重点专科协作组成员单位，急症医学科为国家重点临床学科共建单位，通过共管共建不仅提高临床疗效，而且推动中医药事业发展成果。2018年，医院召开学科建设发展会议，明确了心病、脑病、骨伤、康复、治未病为医院重点支持和发展的学科。</w:t>
      </w:r>
    </w:p>
    <w:p>
      <w:pPr>
        <w:widowControl w:val="0"/>
        <w:wordWrap/>
        <w:adjustRightInd/>
        <w:snapToGrid/>
        <w:spacing w:line="5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医院配备1.5 T核磁共振、美国GE公司innova3100数字化平板血管机、64层螺旋CT、DR、SC2000高端心脏彩色多普勒、动态平板多功能X线透视摄像系统、日立prosound F75全数字化高档全身型彩色多普勒超声诊断仪、多功能全身彩超、腹腔镜、关节镜、C臂X光机、日立7600全自动生化分析仪、西门子移动式DR等进口系列先进设备，总价值1.2 亿元。</w:t>
      </w:r>
    </w:p>
    <w:p>
      <w:pPr>
        <w:widowControl w:val="0"/>
        <w:wordWrap/>
        <w:adjustRightInd/>
        <w:snapToGrid/>
        <w:spacing w:line="5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2002年以来，医院突出中医药特色和优势，结合三亚得天独厚的自然环境和旅游资源，开设三亚欣欣荣中医疗养国际旅行社，率先在全国开展“中医疗养游”。至今，已接待俄罗斯、瑞典、挪威、奥地利、德国、法国等多国客人并接待国外疗养包机，为哈萨克斯坦总统纳扎尔巴耶夫、塔吉克斯坦总统拉赫默诺夫、俄罗斯联邦政府总理梅德韦杰夫、吉尔吉斯斯坦总理萨特巴尔季耶夫等政要在内的10万余名外宾提供高端定制中医药健康服务。圆满完成俄罗斯别斯兰恐怖事件两批受伤儿童和50名吉尔吉斯斯坦儿童的中医康复疗养任务，获得由俄罗斯联邦政府总理签发的“为中俄友谊作出贡献”奖状、俄罗斯联邦卫生和社会发展部颁发的荣誉状，收到中华人民共和国外交部和吉尔吉斯斯坦驻华大使馆、塔吉克斯坦驻华大使馆等国的感谢信。为进一步巩固和加强中医药服务贸易成果，更好服务国家“一带一路”战略，在中医药健康旅游示范基地建设的经验指导下，三亚市中医院阿拉木图中医中心、“中国-亚欧国家中医药疗养国际合作基地（海南）”、“国家中医药服务出口基地”正在全面推进建设，让国粹中医在“一带一路”绽放光彩。2020中国特色旅游商品大赛，三亚市中医院出品的“喜松堂”四季时令茶系列、“喜松堂”安康香囊系列、“喜松堂”植萃浴球获得专家评审组的一致好评，最终荣获2项金奖1项银奖。</w:t>
      </w:r>
    </w:p>
    <w:p>
      <w:pPr>
        <w:widowControl w:val="0"/>
        <w:wordWrap/>
        <w:adjustRightInd/>
        <w:snapToGrid/>
        <w:spacing w:line="5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医院以仁、和、精、诚为服务理念，做到中医有特色、西医上水平，力争建设成为功能全面、特色鲜明，与海南自由贸易港相匹配的现代化中医医院。</w:t>
      </w:r>
    </w:p>
    <w:p>
      <w:pPr>
        <w:widowControl w:val="0"/>
        <w:numPr>
          <w:ilvl w:val="0"/>
          <w:numId w:val="0"/>
        </w:numPr>
        <w:wordWrap/>
        <w:adjustRightInd/>
        <w:snapToGrid/>
        <w:spacing w:line="500" w:lineRule="exact"/>
        <w:ind w:left="630" w:leftChars="0"/>
        <w:textAlignment w:val="auto"/>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pP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微软雅黑" w:cs="Times New Roman"/>
          <w:i w:val="0"/>
          <w:caps w:val="0"/>
          <w:color w:val="auto"/>
          <w:spacing w:val="0"/>
          <w:kern w:val="0"/>
          <w:sz w:val="30"/>
          <w:szCs w:val="30"/>
          <w:highlight w:val="none"/>
          <w:shd w:val="clear" w:color="090000" w:fill="FFFFFF"/>
          <w:lang w:val="en-US" w:eastAsia="zh-CN"/>
        </w:rPr>
        <w:t xml:space="preserve">               </w:t>
      </w: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 xml:space="preserve">   </w:t>
      </w:r>
    </w:p>
    <w:p>
      <w:pPr>
        <w:pStyle w:val="7"/>
        <w:widowControl w:val="0"/>
        <w:numPr>
          <w:ilvl w:val="0"/>
          <w:numId w:val="0"/>
        </w:numPr>
        <w:wordWrap/>
        <w:adjustRightInd/>
        <w:snapToGrid/>
        <w:spacing w:line="500" w:lineRule="exact"/>
        <w:ind w:leftChars="0"/>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lang w:eastAsia="zh-CN"/>
        </w:rPr>
        <w:t>第二部分</w:t>
      </w:r>
      <w:r>
        <w:rPr>
          <w:rFonts w:hint="default" w:ascii="Times New Roman" w:hAnsi="Times New Roman" w:eastAsia="黑体" w:cs="Times New Roman"/>
          <w:color w:val="auto"/>
          <w:sz w:val="32"/>
          <w:szCs w:val="32"/>
          <w:highlight w:val="none"/>
          <w:lang w:val="en-US" w:eastAsia="zh-CN"/>
        </w:rPr>
        <w:t xml:space="preserve"> 三亚市中医院2021</w:t>
      </w:r>
      <w:r>
        <w:rPr>
          <w:rFonts w:hint="default" w:ascii="Times New Roman" w:hAnsi="Times New Roman" w:eastAsia="黑体" w:cs="Times New Roman"/>
          <w:color w:val="auto"/>
          <w:sz w:val="32"/>
          <w:szCs w:val="32"/>
          <w:highlight w:val="none"/>
        </w:rPr>
        <w:t>年单位预算表</w:t>
      </w:r>
      <w:r>
        <w:rPr>
          <w:rFonts w:hint="default" w:ascii="Times New Roman" w:hAnsi="Times New Roman" w:eastAsia="黑体" w:cs="Times New Roman"/>
          <w:color w:val="auto"/>
          <w:sz w:val="32"/>
          <w:szCs w:val="32"/>
          <w:highlight w:val="none"/>
          <w:lang w:val="en-US" w:eastAsia="zh-CN"/>
        </w:rPr>
        <w:t>构成</w:t>
      </w:r>
    </w:p>
    <w:p>
      <w:pPr>
        <w:pStyle w:val="7"/>
        <w:widowControl w:val="0"/>
        <w:numPr>
          <w:ilvl w:val="0"/>
          <w:numId w:val="0"/>
        </w:numPr>
        <w:wordWrap/>
        <w:adjustRightInd/>
        <w:snapToGrid/>
        <w:spacing w:line="500" w:lineRule="exact"/>
        <w:ind w:leftChars="200"/>
        <w:textAlignment w:val="auto"/>
        <w:rPr>
          <w:rFonts w:hint="default" w:ascii="Times New Roman" w:hAnsi="Times New Roman" w:eastAsia="仿宋_GB2312" w:cs="Times New Roman"/>
          <w:i w:val="0"/>
          <w:caps w:val="0"/>
          <w:color w:val="auto"/>
          <w:spacing w:val="0"/>
          <w:kern w:val="0"/>
          <w:sz w:val="30"/>
          <w:szCs w:val="30"/>
          <w:highlight w:val="none"/>
          <w:shd w:val="clear" w:color="080000" w:fill="FFFFFF"/>
          <w:lang w:val="en-US" w:eastAsia="zh-CN"/>
        </w:rPr>
      </w:pP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 xml:space="preserve">       </w:t>
      </w:r>
      <w:r>
        <w:rPr>
          <w:rFonts w:hint="eastAsia" w:ascii="Times New Roman" w:hAnsi="Times New Roman" w:eastAsia="微软雅黑" w:cs="Times New Roman"/>
          <w:i w:val="0"/>
          <w:caps w:val="0"/>
          <w:color w:val="auto"/>
          <w:spacing w:val="0"/>
          <w:kern w:val="0"/>
          <w:sz w:val="30"/>
          <w:szCs w:val="30"/>
          <w:highlight w:val="none"/>
          <w:shd w:val="clear" w:color="080000" w:fill="FFFFFF"/>
          <w:lang w:val="en-US" w:eastAsia="zh-CN"/>
        </w:rPr>
        <w:t xml:space="preserve">  </w:t>
      </w: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 xml:space="preserve"> </w:t>
      </w:r>
      <w:r>
        <w:rPr>
          <w:rFonts w:hint="default" w:ascii="Times New Roman" w:hAnsi="Times New Roman" w:eastAsia="仿宋_GB2312" w:cs="Times New Roman"/>
          <w:i w:val="0"/>
          <w:caps w:val="0"/>
          <w:color w:val="auto"/>
          <w:spacing w:val="0"/>
          <w:kern w:val="0"/>
          <w:sz w:val="30"/>
          <w:szCs w:val="30"/>
          <w:highlight w:val="none"/>
          <w:shd w:val="clear" w:color="080000" w:fill="FFFFFF"/>
          <w:lang w:val="en-US" w:eastAsia="zh-CN"/>
        </w:rPr>
        <w:t>（详见单位预算公开表）</w:t>
      </w:r>
    </w:p>
    <w:p>
      <w:pPr>
        <w:pStyle w:val="7"/>
        <w:widowControl w:val="0"/>
        <w:numPr>
          <w:ilvl w:val="0"/>
          <w:numId w:val="0"/>
        </w:numPr>
        <w:wordWrap/>
        <w:adjustRightInd/>
        <w:snapToGrid/>
        <w:spacing w:line="500" w:lineRule="exact"/>
        <w:ind w:leftChars="200"/>
        <w:textAlignment w:val="auto"/>
        <w:rPr>
          <w:rFonts w:hint="default" w:ascii="Times New Roman" w:hAnsi="Times New Roman" w:eastAsia="仿宋_GB2312" w:cs="Times New Roman"/>
          <w:i w:val="0"/>
          <w:caps w:val="0"/>
          <w:color w:val="auto"/>
          <w:spacing w:val="0"/>
          <w:kern w:val="0"/>
          <w:sz w:val="30"/>
          <w:szCs w:val="30"/>
          <w:highlight w:val="none"/>
          <w:shd w:val="clear" w:color="080000" w:fill="FFFFFF"/>
          <w:lang w:val="en-US" w:eastAsia="zh-CN"/>
        </w:rPr>
      </w:pPr>
    </w:p>
    <w:p>
      <w:pPr>
        <w:pStyle w:val="7"/>
        <w:widowControl w:val="0"/>
        <w:numPr>
          <w:ilvl w:val="0"/>
          <w:numId w:val="0"/>
        </w:numPr>
        <w:wordWrap/>
        <w:adjustRightInd/>
        <w:snapToGrid/>
        <w:spacing w:line="500" w:lineRule="exact"/>
        <w:ind w:leftChars="0"/>
        <w:jc w:val="left"/>
        <w:textAlignment w:val="auto"/>
        <w:outlineLvl w:val="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w:t>
      </w:r>
      <w:r>
        <w:rPr>
          <w:rFonts w:hint="default" w:ascii="Times New Roman" w:hAnsi="Times New Roman" w:eastAsia="黑体" w:cs="Times New Roman"/>
          <w:color w:val="auto"/>
          <w:sz w:val="32"/>
          <w:szCs w:val="32"/>
          <w:highlight w:val="none"/>
          <w:lang w:eastAsia="zh-CN"/>
        </w:rPr>
        <w:t>第三部分</w:t>
      </w:r>
      <w:r>
        <w:rPr>
          <w:rFonts w:hint="default" w:ascii="Times New Roman" w:hAnsi="Times New Roman" w:eastAsia="黑体" w:cs="Times New Roman"/>
          <w:color w:val="auto"/>
          <w:sz w:val="32"/>
          <w:szCs w:val="32"/>
          <w:highlight w:val="none"/>
          <w:lang w:val="en-US" w:eastAsia="zh-CN"/>
        </w:rPr>
        <w:t xml:space="preserve"> 三亚市中医院</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黑体" w:cs="Times New Roman"/>
          <w:color w:val="auto"/>
          <w:sz w:val="32"/>
          <w:szCs w:val="32"/>
          <w:highlight w:val="none"/>
        </w:rPr>
        <w:t>年单位预算情况说明</w:t>
      </w:r>
    </w:p>
    <w:p>
      <w:pPr>
        <w:pStyle w:val="7"/>
        <w:widowControl w:val="0"/>
        <w:numPr>
          <w:ilvl w:val="0"/>
          <w:numId w:val="0"/>
        </w:numPr>
        <w:wordWrap/>
        <w:adjustRightInd/>
        <w:snapToGrid/>
        <w:spacing w:line="500" w:lineRule="exact"/>
        <w:ind w:leftChars="0"/>
        <w:jc w:val="left"/>
        <w:textAlignment w:val="auto"/>
        <w:rPr>
          <w:rFonts w:hint="default" w:ascii="Times New Roman" w:hAnsi="Times New Roman" w:eastAsia="黑体" w:cs="Times New Roman"/>
          <w:color w:val="auto"/>
          <w:sz w:val="32"/>
          <w:szCs w:val="32"/>
          <w:highlight w:val="none"/>
        </w:rPr>
      </w:pPr>
    </w:p>
    <w:p>
      <w:pPr>
        <w:pStyle w:val="7"/>
        <w:widowControl w:val="0"/>
        <w:numPr>
          <w:ilvl w:val="0"/>
          <w:numId w:val="4"/>
        </w:numPr>
        <w:wordWrap/>
        <w:adjustRightInd/>
        <w:snapToGrid/>
        <w:spacing w:line="500" w:lineRule="exact"/>
        <w:ind w:leftChars="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关于三亚市中医院2021年财政拨款收支预算情况总体说明</w:t>
      </w:r>
    </w:p>
    <w:p>
      <w:pPr>
        <w:pStyle w:val="7"/>
        <w:widowControl w:val="0"/>
        <w:numPr>
          <w:ilvl w:val="0"/>
          <w:numId w:val="0"/>
        </w:numPr>
        <w:wordWrap/>
        <w:adjustRightInd/>
        <w:snapToGrid/>
        <w:spacing w:line="500" w:lineRule="exact"/>
        <w:ind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三亚市中医院2021年财政拨款收支总预算5086.27 万元。其中收入总计5086.27万元，包括一般公共预算收入5086.27万元；支出总计5086.27万元，包括一般公共预算支出5086.27万元。</w:t>
      </w:r>
    </w:p>
    <w:p>
      <w:pPr>
        <w:pStyle w:val="7"/>
        <w:widowControl w:val="0"/>
        <w:numPr>
          <w:ilvl w:val="0"/>
          <w:numId w:val="0"/>
        </w:numPr>
        <w:wordWrap/>
        <w:adjustRightInd/>
        <w:snapToGrid/>
        <w:spacing w:line="500" w:lineRule="exact"/>
        <w:jc w:val="left"/>
        <w:textAlignment w:val="auto"/>
        <w:rPr>
          <w:rFonts w:hint="eastAsia" w:ascii="黑体" w:hAnsi="黑体" w:eastAsia="黑体" w:cs="黑体"/>
          <w:i w:val="0"/>
          <w:caps w:val="0"/>
          <w:color w:val="auto"/>
          <w:spacing w:val="0"/>
          <w:kern w:val="0"/>
          <w:sz w:val="30"/>
          <w:szCs w:val="30"/>
          <w:highlight w:val="none"/>
          <w:shd w:val="clear" w:color="080000" w:fill="FFFFFF"/>
          <w:lang w:val="en-US" w:eastAsia="zh-CN"/>
        </w:rPr>
      </w:pPr>
      <w:r>
        <w:rPr>
          <w:rFonts w:hint="eastAsia" w:ascii="黑体" w:hAnsi="黑体" w:eastAsia="黑体" w:cs="黑体"/>
          <w:i w:val="0"/>
          <w:caps w:val="0"/>
          <w:color w:val="auto"/>
          <w:spacing w:val="0"/>
          <w:kern w:val="0"/>
          <w:sz w:val="30"/>
          <w:szCs w:val="30"/>
          <w:highlight w:val="none"/>
          <w:shd w:val="clear" w:color="080000" w:fill="FFFFFF"/>
          <w:lang w:val="en-US" w:eastAsia="zh-CN"/>
        </w:rPr>
        <w:t>二、关于三亚市中医院2021年一般公共预算当年拨款情况说明</w:t>
      </w:r>
    </w:p>
    <w:p>
      <w:pPr>
        <w:pStyle w:val="7"/>
        <w:widowControl w:val="0"/>
        <w:numPr>
          <w:ilvl w:val="0"/>
          <w:numId w:val="0"/>
        </w:numPr>
        <w:wordWrap/>
        <w:adjustRightInd/>
        <w:snapToGrid/>
        <w:spacing w:line="500" w:lineRule="exact"/>
        <w:ind w:firstLine="600" w:firstLineChars="200"/>
        <w:jc w:val="left"/>
        <w:textAlignment w:val="auto"/>
        <w:rPr>
          <w:rFonts w:hint="default" w:ascii="Times New Roman" w:hAnsi="Times New Roman" w:eastAsia="楷体" w:cs="Times New Roman"/>
          <w:color w:val="auto"/>
          <w:kern w:val="2"/>
          <w:sz w:val="32"/>
          <w:szCs w:val="32"/>
          <w:highlight w:val="none"/>
          <w:lang w:val="en-US" w:eastAsia="zh-CN" w:bidi="ar-SA"/>
        </w:rPr>
      </w:pP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（一）</w:t>
      </w:r>
      <w:r>
        <w:rPr>
          <w:rFonts w:hint="default" w:ascii="Times New Roman" w:hAnsi="Times New Roman" w:eastAsia="楷体" w:cs="Times New Roman"/>
          <w:color w:val="auto"/>
          <w:kern w:val="2"/>
          <w:sz w:val="32"/>
          <w:szCs w:val="32"/>
          <w:highlight w:val="none"/>
          <w:lang w:val="en-US" w:eastAsia="zh-CN" w:bidi="ar-SA"/>
        </w:rPr>
        <w:t>一般公共预算当年规模变化情况</w:t>
      </w:r>
    </w:p>
    <w:p>
      <w:pPr>
        <w:pStyle w:val="7"/>
        <w:widowControl w:val="0"/>
        <w:numPr>
          <w:ilvl w:val="0"/>
          <w:numId w:val="0"/>
        </w:numPr>
        <w:wordWrap/>
        <w:adjustRightInd/>
        <w:snapToGrid/>
        <w:spacing w:line="500" w:lineRule="exact"/>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三亚市中医院2021年一般公共预算当年拨款5086.27万元，比上年预算数减少85.73万元，主要原因是（1）亚洲沙滩运动会保障经费85万元的减少；（2）在编人员养老经费及职业年金的增加26.27万元；（3）住院医师规范化培训补助27万元的减少。</w:t>
      </w:r>
    </w:p>
    <w:p>
      <w:pPr>
        <w:pStyle w:val="7"/>
        <w:widowControl w:val="0"/>
        <w:numPr>
          <w:ilvl w:val="0"/>
          <w:numId w:val="0"/>
        </w:numPr>
        <w:wordWrap/>
        <w:adjustRightInd/>
        <w:snapToGrid/>
        <w:spacing w:line="500" w:lineRule="exact"/>
        <w:ind w:firstLine="300" w:firstLineChars="100"/>
        <w:jc w:val="left"/>
        <w:textAlignment w:val="auto"/>
        <w:rPr>
          <w:rFonts w:hint="default" w:ascii="Times New Roman" w:hAnsi="Times New Roman" w:eastAsia="楷体" w:cs="Times New Roman"/>
          <w:color w:val="auto"/>
          <w:kern w:val="2"/>
          <w:sz w:val="32"/>
          <w:szCs w:val="32"/>
          <w:highlight w:val="none"/>
          <w:lang w:val="en-US" w:eastAsia="zh-CN" w:bidi="ar-SA"/>
        </w:rPr>
      </w:pP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（二）</w:t>
      </w:r>
      <w:r>
        <w:rPr>
          <w:rFonts w:hint="default" w:ascii="Times New Roman" w:hAnsi="Times New Roman" w:eastAsia="楷体" w:cs="Times New Roman"/>
          <w:color w:val="auto"/>
          <w:kern w:val="2"/>
          <w:sz w:val="32"/>
          <w:szCs w:val="32"/>
          <w:highlight w:val="none"/>
          <w:lang w:val="en-US" w:eastAsia="zh-CN" w:bidi="ar-SA"/>
        </w:rPr>
        <w:t>一般公共预算当年拨款结构情况</w:t>
      </w:r>
    </w:p>
    <w:p>
      <w:pPr>
        <w:pStyle w:val="7"/>
        <w:widowControl w:val="0"/>
        <w:numPr>
          <w:ilvl w:val="0"/>
          <w:numId w:val="0"/>
        </w:numPr>
        <w:wordWrap/>
        <w:adjustRightInd/>
        <w:snapToGrid/>
        <w:spacing w:line="500" w:lineRule="exact"/>
        <w:ind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一般公共预算支出5086.27万元，占一般公共预算总支出100%。其中社会保障和就业支出536.27万元，占一般公共预算总支出10.54%；卫生健康支出4550万元，占一般公共预算总支出89.64%。</w:t>
      </w:r>
    </w:p>
    <w:p>
      <w:pPr>
        <w:numPr>
          <w:ilvl w:val="0"/>
          <w:numId w:val="5"/>
        </w:num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一般公共预算当年拨款具体使用情况</w:t>
      </w:r>
    </w:p>
    <w:p>
      <w:pPr>
        <w:numPr>
          <w:ilvl w:val="0"/>
          <w:numId w:val="0"/>
        </w:numPr>
        <w:ind w:left="800" w:leftChars="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社会保障和就业支出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类）</w:t>
      </w:r>
      <w:r>
        <w:rPr>
          <w:rFonts w:hint="default" w:ascii="Times New Roman" w:hAnsi="Times New Roman" w:eastAsia="仿宋_GB2312" w:cs="Times New Roman"/>
          <w:color w:val="auto"/>
          <w:sz w:val="32"/>
          <w:szCs w:val="32"/>
          <w:highlight w:val="none"/>
        </w:rPr>
        <w:t>行政事业</w:t>
      </w:r>
    </w:p>
    <w:p>
      <w:pPr>
        <w:numPr>
          <w:ilvl w:val="0"/>
          <w:numId w:val="0"/>
        </w:numP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单位养老支出（款）机关事业单位基本养老保险缴费支出（项）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357.51</w:t>
      </w:r>
      <w:r>
        <w:rPr>
          <w:rFonts w:hint="default" w:ascii="Times New Roman" w:hAnsi="Times New Roman" w:eastAsia="仿宋_GB2312" w:cs="Times New Roman"/>
          <w:color w:val="auto"/>
          <w:sz w:val="32"/>
          <w:szCs w:val="32"/>
          <w:highlight w:val="none"/>
        </w:rPr>
        <w:t>万元，比上年预算数增加</w:t>
      </w:r>
      <w:r>
        <w:rPr>
          <w:rFonts w:hint="default" w:ascii="Times New Roman" w:hAnsi="Times New Roman" w:eastAsia="仿宋_GB2312" w:cs="Times New Roman"/>
          <w:color w:val="auto"/>
          <w:sz w:val="32"/>
          <w:szCs w:val="32"/>
          <w:highlight w:val="none"/>
          <w:lang w:val="en-US" w:eastAsia="zh-CN"/>
        </w:rPr>
        <w:t>17.51</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在编人员调资。</w:t>
      </w:r>
    </w:p>
    <w:p>
      <w:pPr>
        <w:numPr>
          <w:ilvl w:val="0"/>
          <w:numId w:val="0"/>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社会保障和就业支出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类）</w:t>
      </w:r>
      <w:r>
        <w:rPr>
          <w:rFonts w:hint="default" w:ascii="Times New Roman" w:hAnsi="Times New Roman" w:eastAsia="仿宋_GB2312" w:cs="Times New Roman"/>
          <w:color w:val="auto"/>
          <w:sz w:val="32"/>
          <w:szCs w:val="32"/>
          <w:highlight w:val="none"/>
        </w:rPr>
        <w:t>行</w:t>
      </w:r>
      <w:r>
        <w:rPr>
          <w:rFonts w:hint="default" w:ascii="Times New Roman" w:hAnsi="Times New Roman" w:eastAsia="仿宋_GB2312" w:cs="Times New Roman"/>
          <w:color w:val="auto"/>
          <w:sz w:val="32"/>
          <w:szCs w:val="32"/>
          <w:highlight w:val="none"/>
          <w:lang w:val="en-US" w:eastAsia="zh-CN"/>
        </w:rPr>
        <w:t>事业单</w:t>
      </w:r>
      <w:r>
        <w:rPr>
          <w:rFonts w:hint="default" w:ascii="Times New Roman" w:hAnsi="Times New Roman" w:eastAsia="仿宋_GB2312" w:cs="Times New Roman"/>
          <w:color w:val="auto"/>
          <w:sz w:val="32"/>
          <w:szCs w:val="32"/>
          <w:highlight w:val="none"/>
        </w:rPr>
        <w:t>位养老支出（款）机关事业单位职业年金缴费支出（项）</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年预算数为</w:t>
      </w:r>
      <w:r>
        <w:rPr>
          <w:rFonts w:hint="default" w:ascii="Times New Roman" w:hAnsi="Times New Roman" w:eastAsia="仿宋_GB2312" w:cs="Times New Roman"/>
          <w:color w:val="auto"/>
          <w:sz w:val="32"/>
          <w:szCs w:val="32"/>
          <w:highlight w:val="none"/>
          <w:lang w:val="en-US" w:eastAsia="zh-CN"/>
        </w:rPr>
        <w:t>178.76</w:t>
      </w:r>
      <w:r>
        <w:rPr>
          <w:rFonts w:hint="default" w:ascii="Times New Roman" w:hAnsi="Times New Roman" w:eastAsia="仿宋_GB2312" w:cs="Times New Roman"/>
          <w:color w:val="auto"/>
          <w:sz w:val="32"/>
          <w:szCs w:val="32"/>
          <w:highlight w:val="none"/>
        </w:rPr>
        <w:t>万元，比上年预算数增加</w:t>
      </w:r>
      <w:r>
        <w:rPr>
          <w:rFonts w:hint="default" w:ascii="Times New Roman" w:hAnsi="Times New Roman" w:eastAsia="仿宋_GB2312" w:cs="Times New Roman"/>
          <w:color w:val="auto"/>
          <w:sz w:val="32"/>
          <w:szCs w:val="32"/>
          <w:highlight w:val="none"/>
          <w:lang w:val="en-US" w:eastAsia="zh-CN"/>
        </w:rPr>
        <w:t>8.76</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在编人员调资。</w:t>
      </w:r>
    </w:p>
    <w:p>
      <w:pPr>
        <w:numPr>
          <w:ilvl w:val="0"/>
          <w:numId w:val="0"/>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3、卫生健康支出（类）公立医院（款）中医(民族)医院（项）2021年预算数为2350元，与上年度持平。</w:t>
      </w:r>
    </w:p>
    <w:p>
      <w:pPr>
        <w:numPr>
          <w:ilvl w:val="0"/>
          <w:numId w:val="0"/>
        </w:num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4、卫生健康支出（类）中医药（款）中医(民族医)药专项（项）2021年预算数为2200元，与上年度持平。</w:t>
      </w:r>
    </w:p>
    <w:p>
      <w:pPr>
        <w:ind w:firstLine="64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关于</w:t>
      </w:r>
      <w:r>
        <w:rPr>
          <w:rFonts w:hint="default" w:ascii="Times New Roman" w:hAnsi="Times New Roman" w:eastAsia="黑体" w:cs="Times New Roman"/>
          <w:color w:val="auto"/>
          <w:sz w:val="32"/>
          <w:szCs w:val="32"/>
          <w:highlight w:val="none"/>
          <w:lang w:val="en-US" w:eastAsia="zh-CN"/>
        </w:rPr>
        <w:t>三亚市中医院2021年一</w:t>
      </w:r>
      <w:r>
        <w:rPr>
          <w:rFonts w:hint="default" w:ascii="Times New Roman" w:hAnsi="Times New Roman" w:eastAsia="黑体" w:cs="Times New Roman"/>
          <w:color w:val="auto"/>
          <w:sz w:val="32"/>
          <w:szCs w:val="32"/>
          <w:highlight w:val="none"/>
        </w:rPr>
        <w:t>般公共预算基本支出情况说明</w:t>
      </w:r>
    </w:p>
    <w:p>
      <w:pPr>
        <w:pStyle w:val="7"/>
        <w:widowControl w:val="0"/>
        <w:numPr>
          <w:ilvl w:val="0"/>
          <w:numId w:val="0"/>
        </w:numPr>
        <w:wordWrap/>
        <w:adjustRightInd/>
        <w:snapToGrid/>
        <w:spacing w:line="500" w:lineRule="exact"/>
        <w:ind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三亚市中医院2021</w:t>
      </w:r>
      <w:r>
        <w:rPr>
          <w:rFonts w:hint="default" w:ascii="Times New Roman" w:hAnsi="Times New Roman" w:eastAsia="仿宋_GB2312" w:cs="Times New Roman"/>
          <w:color w:val="auto"/>
          <w:sz w:val="32"/>
          <w:szCs w:val="32"/>
          <w:highlight w:val="none"/>
        </w:rPr>
        <w:t>年一般公共预算基本支出为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因</w:t>
      </w:r>
      <w:r>
        <w:rPr>
          <w:rFonts w:hint="eastAsia" w:ascii="Times New Roman" w:hAnsi="Times New Roman" w:eastAsia="仿宋_GB2312" w:cs="Times New Roman"/>
          <w:color w:val="auto"/>
          <w:sz w:val="32"/>
          <w:szCs w:val="32"/>
          <w:highlight w:val="none"/>
          <w:lang w:val="en-US" w:eastAsia="zh-CN"/>
        </w:rPr>
        <w:t>为</w:t>
      </w:r>
      <w:r>
        <w:rPr>
          <w:rFonts w:hint="default" w:ascii="Times New Roman" w:hAnsi="Times New Roman" w:eastAsia="仿宋_GB2312" w:cs="Times New Roman"/>
          <w:color w:val="auto"/>
          <w:sz w:val="32"/>
          <w:szCs w:val="32"/>
          <w:highlight w:val="none"/>
          <w:lang w:val="en-US" w:eastAsia="zh-CN"/>
        </w:rPr>
        <w:t>三亚市中医院为差额拨款单位。</w:t>
      </w:r>
    </w:p>
    <w:p>
      <w:pPr>
        <w:pStyle w:val="7"/>
        <w:widowControl w:val="0"/>
        <w:numPr>
          <w:ilvl w:val="0"/>
          <w:numId w:val="6"/>
        </w:numPr>
        <w:wordWrap/>
        <w:adjustRightInd/>
        <w:snapToGrid/>
        <w:spacing w:line="500" w:lineRule="exact"/>
        <w:ind w:firstLine="640" w:firstLineChars="200"/>
        <w:jc w:val="left"/>
        <w:textAlignment w:val="auto"/>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lang w:val="en-US" w:eastAsia="zh-CN"/>
        </w:rPr>
        <w:t>三亚市中医院2021</w:t>
      </w:r>
      <w:r>
        <w:rPr>
          <w:rFonts w:hint="default" w:ascii="Times New Roman" w:hAnsi="Times New Roman" w:eastAsia="黑体" w:cs="Times New Roman"/>
          <w:color w:val="auto"/>
          <w:sz w:val="32"/>
          <w:highlight w:val="none"/>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（一）三亚市中医院2021年一般公共预算“三公”经费预算数为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无</w:t>
      </w:r>
      <w:r>
        <w:rPr>
          <w:rFonts w:ascii="Times New Roman" w:hAnsi="Times New Roman" w:eastAsia="仿宋_GB2312" w:cs="Times New Roman"/>
          <w:sz w:val="32"/>
          <w:shd w:val="clear" w:color="auto" w:fill="FFFFFF"/>
        </w:rPr>
        <w:t>出国计划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（二）三亚市中医院2021年政府性基金预算“三公”经费预算数为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因公出国（境）经费0万元，与上年预算持平，无出国计划。公务用车购置及运行费0万元（其中，公务用车购置费0万元，公务用车运行费0万元），与上年预算持平。公务车保有量</w:t>
      </w:r>
      <w:r>
        <w:rPr>
          <w:rFonts w:hint="eastAsia" w:ascii="Times New Roman" w:hAnsi="Times New Roman" w:eastAsia="仿宋_GB2312" w:cs="Times New Roman"/>
          <w:sz w:val="32"/>
          <w:shd w:val="clear" w:color="auto" w:fill="FFFFFF"/>
          <w:lang w:val="en-US" w:eastAsia="zh-CN"/>
        </w:rPr>
        <w:t>12</w:t>
      </w:r>
      <w:r>
        <w:rPr>
          <w:rFonts w:hint="eastAsia" w:ascii="Times New Roman" w:hAnsi="Times New Roman" w:eastAsia="仿宋_GB2312" w:cs="Times New Roman"/>
          <w:sz w:val="32"/>
          <w:shd w:val="clear" w:color="auto" w:fill="FFFFFF"/>
        </w:rPr>
        <w:t>辆，计划购置0辆；公务接待费0万元，与上年预算持平，计划接待0批0人。</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五、关于</w:t>
      </w:r>
      <w:r>
        <w:rPr>
          <w:rFonts w:hint="default" w:ascii="Times New Roman" w:hAnsi="Times New Roman" w:eastAsia="黑体" w:cs="Times New Roman"/>
          <w:color w:val="auto"/>
          <w:sz w:val="32"/>
          <w:highlight w:val="none"/>
          <w:shd w:val="clear" w:color="auto" w:fill="FFFFFF"/>
          <w:lang w:val="en-US" w:eastAsia="zh-CN"/>
        </w:rPr>
        <w:t>三亚市中医院2021</w:t>
      </w:r>
      <w:r>
        <w:rPr>
          <w:rFonts w:hint="default" w:ascii="Times New Roman" w:hAnsi="Times New Roman" w:eastAsia="黑体" w:cs="Times New Roman"/>
          <w:color w:val="auto"/>
          <w:sz w:val="32"/>
          <w:highlight w:val="none"/>
          <w:shd w:val="clear" w:color="auto" w:fill="FFFFFF"/>
        </w:rPr>
        <w:t>年政府性基金预算当年拨款情况说明</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（一）政府性基金预算当年规模变化情况</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三亚市中医院2021</w:t>
      </w:r>
      <w:r>
        <w:rPr>
          <w:rFonts w:hint="default" w:ascii="Times New Roman" w:hAnsi="Times New Roman" w:eastAsia="仿宋_GB2312" w:cs="Times New Roman"/>
          <w:color w:val="auto"/>
          <w:sz w:val="32"/>
          <w:szCs w:val="32"/>
          <w:highlight w:val="none"/>
        </w:rPr>
        <w:t>年政府性基金预算当年拨款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（二）政府性基金预算当年拨款结构情况</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三亚市中医院2021</w:t>
      </w:r>
      <w:r>
        <w:rPr>
          <w:rFonts w:hint="default" w:ascii="Times New Roman" w:hAnsi="Times New Roman" w:eastAsia="仿宋_GB2312" w:cs="Times New Roman"/>
          <w:color w:val="auto"/>
          <w:sz w:val="32"/>
          <w:szCs w:val="32"/>
          <w:highlight w:val="none"/>
        </w:rPr>
        <w:t>年政府性基金预算当年拨款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pPr>
        <w:ind w:firstLine="640"/>
        <w:jc w:val="left"/>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（三）政府性基金预算当年拨款具体使用情况</w:t>
      </w:r>
    </w:p>
    <w:p>
      <w:pPr>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三亚市中医院2021</w:t>
      </w:r>
      <w:r>
        <w:rPr>
          <w:rFonts w:hint="default" w:ascii="Times New Roman" w:hAnsi="Times New Roman" w:eastAsia="仿宋_GB2312" w:cs="Times New Roman"/>
          <w:color w:val="auto"/>
          <w:sz w:val="32"/>
          <w:szCs w:val="32"/>
          <w:highlight w:val="none"/>
        </w:rPr>
        <w:t>年政府性基金预算当年拨款</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pPr>
        <w:pStyle w:val="7"/>
        <w:widowControl w:val="0"/>
        <w:numPr>
          <w:ilvl w:val="0"/>
          <w:numId w:val="0"/>
        </w:numPr>
        <w:wordWrap/>
        <w:adjustRightInd/>
        <w:snapToGrid/>
        <w:spacing w:line="500" w:lineRule="exact"/>
        <w:ind w:firstLine="600" w:firstLineChars="200"/>
        <w:jc w:val="left"/>
        <w:textAlignment w:val="auto"/>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pP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六、</w:t>
      </w:r>
      <w:r>
        <w:rPr>
          <w:rFonts w:hint="default" w:ascii="Times New Roman" w:hAnsi="Times New Roman" w:eastAsia="黑体" w:cs="Times New Roman"/>
          <w:color w:val="auto"/>
          <w:kern w:val="2"/>
          <w:sz w:val="32"/>
          <w:szCs w:val="22"/>
          <w:highlight w:val="none"/>
          <w:shd w:val="clear" w:color="auto" w:fill="FFFFFF"/>
          <w:lang w:val="en-US" w:eastAsia="zh-CN" w:bidi="ar-SA"/>
        </w:rPr>
        <w:t>关于三亚市中医院2021年收支预算情况的总体说明</w:t>
      </w:r>
    </w:p>
    <w:p>
      <w:pPr>
        <w:pStyle w:val="7"/>
        <w:widowControl w:val="0"/>
        <w:numPr>
          <w:ilvl w:val="0"/>
          <w:numId w:val="0"/>
        </w:numPr>
        <w:wordWrap/>
        <w:adjustRightInd/>
        <w:snapToGrid/>
        <w:spacing w:line="500" w:lineRule="exact"/>
        <w:jc w:val="left"/>
        <w:textAlignment w:val="auto"/>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pP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 xml:space="preserve">    </w:t>
      </w:r>
      <w:r>
        <w:rPr>
          <w:rFonts w:hint="default" w:ascii="Times New Roman" w:hAnsi="Times New Roman" w:eastAsia="仿宋_GB2312" w:cs="Times New Roman"/>
          <w:color w:val="auto"/>
          <w:kern w:val="2"/>
          <w:sz w:val="32"/>
          <w:szCs w:val="32"/>
          <w:highlight w:val="none"/>
          <w:lang w:val="en-US" w:eastAsia="zh-CN" w:bidi="ar-SA"/>
        </w:rPr>
        <w:t>按照综合预算原则，三亚市中医院所有收入和支出均纳入</w:t>
      </w:r>
      <w:r>
        <w:rPr>
          <w:rFonts w:hint="eastAsia" w:ascii="Times New Roman" w:hAnsi="Times New Roman" w:eastAsia="仿宋_GB2312" w:cs="Times New Roman"/>
          <w:color w:val="auto"/>
          <w:kern w:val="2"/>
          <w:sz w:val="32"/>
          <w:szCs w:val="32"/>
          <w:highlight w:val="none"/>
          <w:lang w:val="en-US" w:eastAsia="zh-CN" w:bidi="ar-SA"/>
        </w:rPr>
        <w:t>单位</w:t>
      </w:r>
      <w:r>
        <w:rPr>
          <w:rFonts w:hint="default" w:ascii="Times New Roman" w:hAnsi="Times New Roman" w:eastAsia="仿宋_GB2312" w:cs="Times New Roman"/>
          <w:color w:val="auto"/>
          <w:kern w:val="2"/>
          <w:sz w:val="32"/>
          <w:szCs w:val="32"/>
          <w:highlight w:val="none"/>
          <w:lang w:val="en-US" w:eastAsia="zh-CN" w:bidi="ar-SA"/>
        </w:rPr>
        <w:t>预算管理。收入包括：一般公共预算收入、事业收入、其他收入</w:t>
      </w:r>
      <w:r>
        <w:rPr>
          <w:rFonts w:hint="eastAsia" w:ascii="Times New Roman" w:hAnsi="Times New Roman" w:eastAsia="仿宋_GB2312" w:cs="Times New Roman"/>
          <w:color w:val="auto"/>
          <w:kern w:val="2"/>
          <w:sz w:val="32"/>
          <w:szCs w:val="32"/>
          <w:highlight w:val="none"/>
          <w:lang w:val="en-US" w:eastAsia="zh-CN" w:bidi="ar-SA"/>
        </w:rPr>
        <w:t>、上年结转</w:t>
      </w:r>
      <w:r>
        <w:rPr>
          <w:rFonts w:hint="default" w:ascii="Times New Roman" w:hAnsi="Times New Roman" w:eastAsia="仿宋_GB2312" w:cs="Times New Roman"/>
          <w:color w:val="auto"/>
          <w:kern w:val="2"/>
          <w:sz w:val="32"/>
          <w:szCs w:val="32"/>
          <w:highlight w:val="none"/>
          <w:lang w:val="en-US" w:eastAsia="zh-CN" w:bidi="ar-SA"/>
        </w:rPr>
        <w:t>；支出包括：社会保障和就业支出</w:t>
      </w:r>
      <w:r>
        <w:rPr>
          <w:rFonts w:hint="eastAsia" w:ascii="Times New Roman" w:hAnsi="Times New Roman" w:eastAsia="仿宋_GB2312" w:cs="Times New Roman"/>
          <w:color w:val="auto"/>
          <w:kern w:val="2"/>
          <w:sz w:val="32"/>
          <w:szCs w:val="32"/>
          <w:highlight w:val="none"/>
          <w:lang w:val="en-US" w:eastAsia="zh-CN" w:bidi="ar-SA"/>
        </w:rPr>
        <w:t>、卫生健康支出、住房保障支出、结转下年</w:t>
      </w:r>
      <w:r>
        <w:rPr>
          <w:rFonts w:hint="default" w:ascii="Times New Roman" w:hAnsi="Times New Roman" w:eastAsia="仿宋_GB2312" w:cs="Times New Roman"/>
          <w:color w:val="auto"/>
          <w:kern w:val="2"/>
          <w:sz w:val="32"/>
          <w:szCs w:val="32"/>
          <w:highlight w:val="none"/>
          <w:lang w:val="en-US" w:eastAsia="zh-CN" w:bidi="ar-SA"/>
        </w:rPr>
        <w:t>。三亚市中医院2021年收支总预算28011.35万元。</w:t>
      </w:r>
    </w:p>
    <w:p>
      <w:pPr>
        <w:pStyle w:val="7"/>
        <w:widowControl w:val="0"/>
        <w:numPr>
          <w:ilvl w:val="0"/>
          <w:numId w:val="0"/>
        </w:numPr>
        <w:wordWrap/>
        <w:adjustRightInd/>
        <w:snapToGrid/>
        <w:spacing w:line="500" w:lineRule="exact"/>
        <w:ind w:firstLine="600" w:firstLineChars="200"/>
        <w:jc w:val="left"/>
        <w:textAlignment w:val="auto"/>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pPr>
      <w:r>
        <w:rPr>
          <w:rFonts w:hint="default" w:ascii="Times New Roman" w:hAnsi="Times New Roman" w:eastAsia="微软雅黑" w:cs="Times New Roman"/>
          <w:i w:val="0"/>
          <w:caps w:val="0"/>
          <w:color w:val="auto"/>
          <w:spacing w:val="0"/>
          <w:kern w:val="0"/>
          <w:sz w:val="30"/>
          <w:szCs w:val="30"/>
          <w:highlight w:val="none"/>
          <w:shd w:val="clear" w:color="080000" w:fill="FFFFFF"/>
          <w:lang w:val="en-US" w:eastAsia="zh-CN"/>
        </w:rPr>
        <w:t>七、</w:t>
      </w:r>
      <w:r>
        <w:rPr>
          <w:rFonts w:hint="default" w:ascii="Times New Roman" w:hAnsi="Times New Roman" w:eastAsia="黑体" w:cs="Times New Roman"/>
          <w:color w:val="auto"/>
          <w:kern w:val="2"/>
          <w:sz w:val="32"/>
          <w:szCs w:val="22"/>
          <w:highlight w:val="none"/>
          <w:shd w:val="clear" w:color="auto" w:fill="FFFFFF"/>
          <w:lang w:val="en-US" w:eastAsia="zh-CN" w:bidi="ar-SA"/>
        </w:rPr>
        <w:t>关于三亚市中医院2021年收入预算情况说明</w:t>
      </w:r>
    </w:p>
    <w:p>
      <w:pPr>
        <w:pStyle w:val="7"/>
        <w:widowControl w:val="0"/>
        <w:numPr>
          <w:ilvl w:val="0"/>
          <w:numId w:val="0"/>
        </w:numPr>
        <w:wordWrap/>
        <w:adjustRightInd/>
        <w:snapToGrid/>
        <w:spacing w:line="500" w:lineRule="exact"/>
        <w:ind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亚市中医院2021年收入预算28011.35万元，其中上年结转719.78万元，占2.57%；财政补助收入5086.27万元，占18.16%;事业收入22000万元，占78.54%；其他收入205.3万元，占0.73%。比上年预算数增加2681.98万元。主要是事业收入增加2562.41万元，财政补助收入减少了85.73万元，社会保障和就业支出增加了138.77万元，卫生健康支出减少了38.58万元。</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szCs w:val="22"/>
          <w:highlight w:val="none"/>
          <w:shd w:val="clear" w:color="auto" w:fill="FFFFFF"/>
          <w:lang w:val="en-US" w:eastAsia="zh-CN"/>
        </w:rPr>
        <w:t>八、</w:t>
      </w:r>
      <w:r>
        <w:rPr>
          <w:rFonts w:hint="default" w:ascii="Times New Roman" w:hAnsi="Times New Roman" w:eastAsia="黑体" w:cs="Times New Roman"/>
          <w:color w:val="auto"/>
          <w:sz w:val="32"/>
          <w:highlight w:val="none"/>
          <w:shd w:val="clear" w:color="auto" w:fill="FFFFFF"/>
        </w:rPr>
        <w:t>关</w:t>
      </w:r>
      <w:r>
        <w:rPr>
          <w:rFonts w:hint="default" w:ascii="Times New Roman" w:hAnsi="Times New Roman" w:eastAsia="黑体" w:cs="Times New Roman"/>
          <w:color w:val="auto"/>
          <w:sz w:val="32"/>
          <w:highlight w:val="none"/>
          <w:shd w:val="clear" w:color="auto" w:fill="FFFFFF"/>
          <w:lang w:val="en-US" w:eastAsia="zh-CN"/>
        </w:rPr>
        <w:t>于三亚市中医院2021</w:t>
      </w:r>
      <w:r>
        <w:rPr>
          <w:rFonts w:hint="default" w:ascii="Times New Roman" w:hAnsi="Times New Roman" w:eastAsia="黑体" w:cs="Times New Roman"/>
          <w:color w:val="auto"/>
          <w:sz w:val="32"/>
          <w:highlight w:val="none"/>
          <w:shd w:val="clear" w:color="auto" w:fill="FFFFFF"/>
        </w:rPr>
        <w:t>年支出预算情况说明</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三亚市中医院2021</w:t>
      </w:r>
      <w:r>
        <w:rPr>
          <w:rFonts w:hint="default" w:ascii="Times New Roman" w:hAnsi="Times New Roman" w:eastAsia="仿宋_GB2312" w:cs="Times New Roman"/>
          <w:color w:val="auto"/>
          <w:sz w:val="32"/>
          <w:szCs w:val="32"/>
          <w:highlight w:val="none"/>
        </w:rPr>
        <w:t>年支出预算</w:t>
      </w:r>
      <w:r>
        <w:rPr>
          <w:rFonts w:hint="default" w:ascii="Times New Roman" w:hAnsi="Times New Roman" w:eastAsia="仿宋_GB2312" w:cs="Times New Roman"/>
          <w:color w:val="auto"/>
          <w:sz w:val="32"/>
          <w:szCs w:val="32"/>
          <w:highlight w:val="none"/>
          <w:lang w:val="en-US" w:eastAsia="zh-CN"/>
        </w:rPr>
        <w:t>24943.92</w:t>
      </w:r>
      <w:r>
        <w:rPr>
          <w:rFonts w:hint="default" w:ascii="Times New Roman" w:hAnsi="Times New Roman" w:eastAsia="仿宋_GB2312" w:cs="Times New Roman"/>
          <w:color w:val="auto"/>
          <w:sz w:val="32"/>
          <w:szCs w:val="32"/>
          <w:highlight w:val="none"/>
        </w:rPr>
        <w:t>万元，其中：基本支出</w:t>
      </w:r>
      <w:r>
        <w:rPr>
          <w:rFonts w:hint="default" w:ascii="Times New Roman" w:hAnsi="Times New Roman" w:eastAsia="仿宋_GB2312" w:cs="Times New Roman"/>
          <w:color w:val="auto"/>
          <w:sz w:val="32"/>
          <w:szCs w:val="32"/>
          <w:highlight w:val="none"/>
          <w:lang w:val="en-US" w:eastAsia="zh-CN"/>
        </w:rPr>
        <w:t>19857.65</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79.61</w:t>
      </w:r>
      <w:r>
        <w:rPr>
          <w:rFonts w:hint="default" w:ascii="Times New Roman" w:hAnsi="Times New Roman" w:eastAsia="仿宋_GB2312" w:cs="Times New Roman"/>
          <w:color w:val="auto"/>
          <w:sz w:val="32"/>
          <w:szCs w:val="32"/>
          <w:highlight w:val="none"/>
        </w:rPr>
        <w:t>%；项目支出</w:t>
      </w:r>
      <w:r>
        <w:rPr>
          <w:rFonts w:hint="default" w:ascii="Times New Roman" w:hAnsi="Times New Roman" w:eastAsia="仿宋_GB2312" w:cs="Times New Roman"/>
          <w:color w:val="auto"/>
          <w:sz w:val="32"/>
          <w:szCs w:val="32"/>
          <w:highlight w:val="none"/>
          <w:lang w:val="en-US" w:eastAsia="zh-CN"/>
        </w:rPr>
        <w:t>5086.27</w:t>
      </w:r>
      <w:r>
        <w:rPr>
          <w:rFonts w:hint="default" w:ascii="Times New Roman" w:hAnsi="Times New Roman" w:eastAsia="仿宋_GB2312" w:cs="Times New Roman"/>
          <w:color w:val="auto"/>
          <w:sz w:val="32"/>
          <w:szCs w:val="32"/>
          <w:highlight w:val="none"/>
        </w:rPr>
        <w:t>万元，占</w:t>
      </w:r>
      <w:r>
        <w:rPr>
          <w:rFonts w:hint="default" w:ascii="Times New Roman" w:hAnsi="Times New Roman" w:eastAsia="仿宋_GB2312" w:cs="Times New Roman"/>
          <w:color w:val="auto"/>
          <w:sz w:val="32"/>
          <w:szCs w:val="32"/>
          <w:highlight w:val="none"/>
          <w:lang w:val="en-US" w:eastAsia="zh-CN"/>
        </w:rPr>
        <w:t>20.39</w:t>
      </w:r>
      <w:r>
        <w:rPr>
          <w:rFonts w:hint="default" w:ascii="Times New Roman" w:hAnsi="Times New Roman" w:eastAsia="仿宋_GB2312" w:cs="Times New Roman"/>
          <w:color w:val="auto"/>
          <w:sz w:val="32"/>
          <w:szCs w:val="32"/>
          <w:highlight w:val="none"/>
        </w:rPr>
        <w:t>%。比上年预算数增加</w:t>
      </w:r>
      <w:r>
        <w:rPr>
          <w:rFonts w:hint="default" w:ascii="Times New Roman" w:hAnsi="Times New Roman" w:eastAsia="仿宋_GB2312" w:cs="Times New Roman"/>
          <w:color w:val="auto"/>
          <w:sz w:val="32"/>
          <w:szCs w:val="32"/>
          <w:highlight w:val="none"/>
          <w:lang w:val="en-US" w:eastAsia="zh-CN"/>
        </w:rPr>
        <w:t>334.33</w:t>
      </w:r>
      <w:r>
        <w:rPr>
          <w:rFonts w:hint="default" w:ascii="Times New Roman" w:hAnsi="Times New Roman" w:eastAsia="仿宋_GB2312" w:cs="Times New Roman"/>
          <w:color w:val="auto"/>
          <w:sz w:val="32"/>
          <w:szCs w:val="32"/>
          <w:highlight w:val="none"/>
        </w:rPr>
        <w:t>万元，主要是</w:t>
      </w:r>
      <w:r>
        <w:rPr>
          <w:rFonts w:hint="default" w:ascii="Times New Roman" w:hAnsi="Times New Roman" w:eastAsia="仿宋_GB2312" w:cs="Times New Roman"/>
          <w:color w:val="auto"/>
          <w:sz w:val="32"/>
          <w:szCs w:val="32"/>
          <w:highlight w:val="none"/>
          <w:lang w:val="en-US" w:eastAsia="zh-CN"/>
        </w:rPr>
        <w:t>基本支出比上年预算增加420.06万元；项目支出比上年预算减少85.73万元</w:t>
      </w:r>
      <w:r>
        <w:rPr>
          <w:rFonts w:hint="default" w:ascii="Times New Roman" w:hAnsi="Times New Roman" w:eastAsia="仿宋_GB2312" w:cs="Times New Roman"/>
          <w:color w:val="auto"/>
          <w:sz w:val="32"/>
          <w:szCs w:val="32"/>
          <w:highlight w:val="none"/>
        </w:rPr>
        <w:t>。</w:t>
      </w:r>
    </w:p>
    <w:p>
      <w:pPr>
        <w:ind w:firstLine="640" w:firstLineChars="200"/>
        <w:rPr>
          <w:rFonts w:hint="default"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highlight w:val="none"/>
          <w:lang w:val="en-US" w:eastAsia="zh-CN"/>
        </w:rPr>
      </w:pPr>
      <w:r>
        <w:rPr>
          <w:rFonts w:hint="default" w:ascii="Times New Roman" w:hAnsi="Times New Roman" w:eastAsia="楷体" w:cs="Times New Roman"/>
          <w:color w:val="auto"/>
          <w:sz w:val="32"/>
          <w:szCs w:val="32"/>
          <w:highlight w:val="none"/>
        </w:rPr>
        <w:t>（一）机关运行经费</w:t>
      </w:r>
      <w:r>
        <w:rPr>
          <w:rFonts w:hint="default" w:ascii="Times New Roman" w:hAnsi="Times New Roman" w:eastAsia="楷体" w:cs="Times New Roman"/>
          <w:color w:val="auto"/>
          <w:sz w:val="32"/>
          <w:szCs w:val="32"/>
          <w:highlight w:val="none"/>
          <w:lang w:val="en-US" w:eastAsia="zh-CN"/>
        </w:rPr>
        <w:t>（</w:t>
      </w:r>
      <w:r>
        <w:rPr>
          <w:rFonts w:hint="default" w:ascii="Times New Roman" w:hAnsi="Times New Roman" w:eastAsia="楷体" w:cs="Times New Roman"/>
          <w:color w:val="auto"/>
          <w:sz w:val="32"/>
          <w:szCs w:val="32"/>
          <w:highlight w:val="none"/>
        </w:rPr>
        <w:t>行政单位</w:t>
      </w:r>
      <w:r>
        <w:rPr>
          <w:rFonts w:hint="default" w:ascii="Times New Roman" w:hAnsi="Times New Roman" w:eastAsia="楷体" w:cs="Times New Roman"/>
          <w:color w:val="auto"/>
          <w:sz w:val="32"/>
          <w:szCs w:val="32"/>
          <w:highlight w:val="none"/>
          <w:lang w:eastAsia="zh-CN"/>
        </w:rPr>
        <w:t>、</w:t>
      </w:r>
      <w:r>
        <w:rPr>
          <w:rFonts w:hint="default" w:ascii="Times New Roman" w:hAnsi="Times New Roman" w:eastAsia="楷体" w:cs="Times New Roman"/>
          <w:color w:val="auto"/>
          <w:sz w:val="32"/>
          <w:szCs w:val="32"/>
          <w:highlight w:val="none"/>
        </w:rPr>
        <w:t>参照公务员法管理的事业单位</w:t>
      </w:r>
      <w:r>
        <w:rPr>
          <w:rFonts w:hint="default" w:ascii="Times New Roman" w:hAnsi="Times New Roman" w:eastAsia="楷体" w:cs="Times New Roman"/>
          <w:color w:val="auto"/>
          <w:sz w:val="32"/>
          <w:szCs w:val="32"/>
          <w:highlight w:val="none"/>
          <w:lang w:eastAsia="zh-CN"/>
        </w:rPr>
        <w:t>需说明，其他单位不需要说明</w:t>
      </w:r>
      <w:r>
        <w:rPr>
          <w:rFonts w:hint="default" w:ascii="Times New Roman" w:hAnsi="Times New Roman" w:eastAsia="楷体" w:cs="Times New Roman"/>
          <w:color w:val="auto"/>
          <w:sz w:val="32"/>
          <w:szCs w:val="32"/>
          <w:highlight w:val="none"/>
          <w:lang w:val="en-US" w:eastAsia="zh-CN"/>
        </w:rPr>
        <w:t>）</w:t>
      </w:r>
    </w:p>
    <w:p>
      <w:pPr>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无，三亚市中医院是差额定额保障单位。</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（二）政府采购情况</w:t>
      </w:r>
    </w:p>
    <w:p>
      <w:pPr>
        <w:ind w:firstLine="64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三亚市中医院</w:t>
      </w:r>
      <w:r>
        <w:rPr>
          <w:rFonts w:hint="default" w:ascii="Times New Roman" w:hAnsi="Times New Roman" w:eastAsia="仿宋_GB2312" w:cs="Times New Roman"/>
          <w:color w:val="auto"/>
          <w:sz w:val="32"/>
          <w:szCs w:val="32"/>
          <w:highlight w:val="none"/>
        </w:rPr>
        <w:t>政府采购预算总额</w:t>
      </w:r>
      <w:r>
        <w:rPr>
          <w:rFonts w:hint="default" w:ascii="Times New Roman" w:hAnsi="Times New Roman" w:eastAsia="仿宋_GB2312" w:cs="Times New Roman"/>
          <w:color w:val="auto"/>
          <w:sz w:val="32"/>
          <w:szCs w:val="32"/>
          <w:highlight w:val="none"/>
          <w:lang w:val="en-US" w:eastAsia="zh-CN"/>
        </w:rPr>
        <w:t>2350</w:t>
      </w:r>
      <w:r>
        <w:rPr>
          <w:rFonts w:hint="default" w:ascii="Times New Roman" w:hAnsi="Times New Roman" w:eastAsia="仿宋_GB2312" w:cs="Times New Roman"/>
          <w:color w:val="auto"/>
          <w:sz w:val="32"/>
          <w:szCs w:val="32"/>
          <w:highlight w:val="none"/>
        </w:rPr>
        <w:t>万元，其中：政府采购</w:t>
      </w:r>
      <w:r>
        <w:rPr>
          <w:rFonts w:hint="default" w:ascii="Times New Roman" w:hAnsi="Times New Roman" w:eastAsia="仿宋_GB2312" w:cs="Times New Roman"/>
          <w:color w:val="auto"/>
          <w:sz w:val="32"/>
          <w:szCs w:val="32"/>
          <w:highlight w:val="none"/>
          <w:lang w:val="en-US" w:eastAsia="zh-CN"/>
        </w:rPr>
        <w:t>设备</w:t>
      </w:r>
      <w:r>
        <w:rPr>
          <w:rFonts w:hint="default" w:ascii="Times New Roman" w:hAnsi="Times New Roman" w:eastAsia="仿宋_GB2312" w:cs="Times New Roman"/>
          <w:color w:val="auto"/>
          <w:sz w:val="32"/>
          <w:szCs w:val="32"/>
          <w:highlight w:val="none"/>
        </w:rPr>
        <w:t>预算</w:t>
      </w:r>
      <w:r>
        <w:rPr>
          <w:rFonts w:hint="default" w:ascii="Times New Roman" w:hAnsi="Times New Roman" w:eastAsia="仿宋_GB2312" w:cs="Times New Roman"/>
          <w:color w:val="auto"/>
          <w:sz w:val="32"/>
          <w:szCs w:val="32"/>
          <w:highlight w:val="none"/>
          <w:lang w:val="en-US" w:eastAsia="zh-CN"/>
        </w:rPr>
        <w:t>2350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（三）国有资产占有使用情况</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年12月31日，</w:t>
      </w:r>
      <w:r>
        <w:rPr>
          <w:rFonts w:hint="default" w:ascii="Times New Roman" w:hAnsi="Times New Roman" w:eastAsia="仿宋_GB2312" w:cs="Times New Roman"/>
          <w:color w:val="auto"/>
          <w:sz w:val="32"/>
          <w:szCs w:val="32"/>
          <w:highlight w:val="none"/>
          <w:lang w:val="en-US" w:eastAsia="zh-CN"/>
        </w:rPr>
        <w:t>三亚市中医院</w:t>
      </w:r>
      <w:r>
        <w:rPr>
          <w:rFonts w:hint="default" w:ascii="Times New Roman" w:hAnsi="Times New Roman" w:eastAsia="仿宋_GB2312" w:cs="Times New Roman"/>
          <w:color w:val="auto"/>
          <w:sz w:val="32"/>
          <w:szCs w:val="32"/>
          <w:highlight w:val="none"/>
        </w:rPr>
        <w:t>共有车辆</w:t>
      </w: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rPr>
        <w:t>辆，其中，领导干部用车</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辆，</w:t>
      </w:r>
      <w:r>
        <w:rPr>
          <w:rFonts w:hint="default" w:ascii="Times New Roman" w:hAnsi="Times New Roman" w:eastAsia="仿宋_GB2312" w:cs="Times New Roman"/>
          <w:color w:val="auto"/>
          <w:sz w:val="32"/>
          <w:szCs w:val="32"/>
          <w:highlight w:val="none"/>
          <w:lang w:val="en-US" w:eastAsia="zh-CN"/>
        </w:rPr>
        <w:t>急救</w:t>
      </w:r>
      <w:r>
        <w:rPr>
          <w:rFonts w:hint="default" w:ascii="Times New Roman" w:hAnsi="Times New Roman" w:eastAsia="仿宋_GB2312" w:cs="Times New Roman"/>
          <w:color w:val="auto"/>
          <w:sz w:val="32"/>
          <w:szCs w:val="32"/>
          <w:highlight w:val="none"/>
        </w:rPr>
        <w:t>车</w:t>
      </w:r>
      <w:r>
        <w:rPr>
          <w:rFonts w:hint="default"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辆、其他用车</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辆。单位价值100万元以上设备</w:t>
      </w:r>
      <w:r>
        <w:rPr>
          <w:rFonts w:hint="default" w:ascii="Times New Roman" w:hAnsi="Times New Roman" w:eastAsia="仿宋_GB2312" w:cs="Times New Roman"/>
          <w:color w:val="auto"/>
          <w:sz w:val="32"/>
          <w:szCs w:val="32"/>
          <w:highlight w:val="none"/>
          <w:lang w:val="en-US" w:eastAsia="zh-CN"/>
        </w:rPr>
        <w:t>38</w:t>
      </w:r>
      <w:r>
        <w:rPr>
          <w:rFonts w:hint="default" w:ascii="Times New Roman" w:hAnsi="Times New Roman" w:eastAsia="仿宋_GB2312" w:cs="Times New Roman"/>
          <w:color w:val="auto"/>
          <w:sz w:val="32"/>
          <w:szCs w:val="32"/>
          <w:highlight w:val="none"/>
        </w:rPr>
        <w:t>台。</w:t>
      </w:r>
    </w:p>
    <w:p>
      <w:pPr>
        <w:ind w:firstLine="640" w:firstLineChars="200"/>
        <w:rPr>
          <w:rFonts w:hint="default"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（四）绩效目标设置情况</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三亚市中医院4</w:t>
      </w:r>
      <w:r>
        <w:rPr>
          <w:rFonts w:hint="default" w:ascii="Times New Roman" w:hAnsi="Times New Roman" w:eastAsia="仿宋_GB2312" w:cs="Times New Roman"/>
          <w:color w:val="auto"/>
          <w:sz w:val="32"/>
          <w:szCs w:val="32"/>
          <w:highlight w:val="none"/>
        </w:rPr>
        <w:t>个项目实行绩效目标管理，涉及一般公共预算</w:t>
      </w:r>
      <w:r>
        <w:rPr>
          <w:rFonts w:hint="default" w:ascii="Times New Roman" w:hAnsi="Times New Roman" w:eastAsia="仿宋_GB2312" w:cs="Times New Roman"/>
          <w:color w:val="auto"/>
          <w:sz w:val="32"/>
          <w:szCs w:val="32"/>
          <w:highlight w:val="none"/>
          <w:lang w:val="en-US" w:eastAsia="zh-CN"/>
        </w:rPr>
        <w:t>5086.27</w:t>
      </w:r>
      <w:r>
        <w:rPr>
          <w:rFonts w:hint="default" w:ascii="Times New Roman" w:hAnsi="Times New Roman" w:eastAsia="仿宋_GB2312" w:cs="Times New Roman"/>
          <w:color w:val="auto"/>
          <w:sz w:val="32"/>
          <w:szCs w:val="32"/>
          <w:highlight w:val="none"/>
        </w:rPr>
        <w:t>万元。</w:t>
      </w:r>
    </w:p>
    <w:p>
      <w:pPr>
        <w:pStyle w:val="7"/>
        <w:widowControl w:val="0"/>
        <w:numPr>
          <w:ilvl w:val="0"/>
          <w:numId w:val="0"/>
        </w:numPr>
        <w:wordWrap/>
        <w:adjustRightInd/>
        <w:snapToGrid/>
        <w:spacing w:line="500" w:lineRule="exact"/>
        <w:ind w:firstLine="640" w:firstLineChars="200"/>
        <w:jc w:val="left"/>
        <w:textAlignment w:val="auto"/>
        <w:rPr>
          <w:rFonts w:hint="default" w:ascii="Times New Roman" w:hAnsi="Times New Roman" w:eastAsia="仿宋_GB2312" w:cs="Times New Roman"/>
          <w:color w:val="auto"/>
          <w:kern w:val="2"/>
          <w:sz w:val="32"/>
          <w:szCs w:val="32"/>
          <w:highlight w:val="none"/>
          <w:lang w:val="en-US" w:eastAsia="zh-CN" w:bidi="ar-SA"/>
        </w:rPr>
      </w:pPr>
    </w:p>
    <w:p>
      <w:pPr>
        <w:widowControl w:val="0"/>
        <w:wordWrap/>
        <w:adjustRightInd/>
        <w:snapToGrid/>
        <w:spacing w:line="500" w:lineRule="exact"/>
        <w:jc w:val="center"/>
        <w:textAlignment w:val="auto"/>
        <w:rPr>
          <w:rFonts w:hint="default" w:ascii="Times New Roman" w:hAnsi="Times New Roman" w:eastAsia="黑体" w:cs="Times New Roman"/>
          <w:b/>
          <w:color w:val="auto"/>
          <w:sz w:val="32"/>
          <w:szCs w:val="32"/>
          <w:highlight w:val="none"/>
        </w:rPr>
      </w:pPr>
    </w:p>
    <w:p>
      <w:pPr>
        <w:widowControl w:val="0"/>
        <w:wordWrap/>
        <w:adjustRightInd/>
        <w:snapToGrid/>
        <w:spacing w:line="500" w:lineRule="exact"/>
        <w:jc w:val="center"/>
        <w:textAlignment w:val="auto"/>
        <w:rPr>
          <w:rFonts w:hint="default" w:ascii="Times New Roman" w:hAnsi="Times New Roman" w:eastAsia="黑体" w:cs="Times New Roman"/>
          <w:b/>
          <w:color w:val="auto"/>
          <w:sz w:val="32"/>
          <w:szCs w:val="32"/>
          <w:highlight w:val="none"/>
        </w:rPr>
      </w:pPr>
    </w:p>
    <w:p>
      <w:pPr>
        <w:widowControl w:val="0"/>
        <w:wordWrap/>
        <w:adjustRightInd/>
        <w:snapToGrid/>
        <w:spacing w:line="500" w:lineRule="exact"/>
        <w:jc w:val="center"/>
        <w:textAlignment w:val="auto"/>
        <w:rPr>
          <w:rFonts w:hint="default" w:ascii="Times New Roman" w:hAnsi="Times New Roman" w:eastAsia="黑体" w:cs="Times New Roman"/>
          <w:b/>
          <w:color w:val="auto"/>
          <w:sz w:val="32"/>
          <w:szCs w:val="32"/>
          <w:highlight w:val="none"/>
        </w:rPr>
      </w:pPr>
    </w:p>
    <w:p>
      <w:pPr>
        <w:jc w:val="center"/>
        <w:outlineLvl w:val="0"/>
        <w:rPr>
          <w:rFonts w:hint="default" w:ascii="Times New Roman" w:hAnsi="Times New Roman" w:eastAsia="黑体" w:cs="Times New Roman"/>
          <w:b/>
          <w:color w:val="auto"/>
          <w:sz w:val="32"/>
          <w:szCs w:val="32"/>
          <w:highlight w:val="none"/>
        </w:rPr>
      </w:pPr>
      <w:r>
        <w:rPr>
          <w:rFonts w:hint="default" w:ascii="Times New Roman" w:hAnsi="Times New Roman" w:eastAsia="黑体" w:cs="Times New Roman"/>
          <w:b/>
          <w:color w:val="auto"/>
          <w:sz w:val="32"/>
          <w:szCs w:val="32"/>
          <w:highlight w:val="none"/>
        </w:rPr>
        <w:t>第四部分  名词解释</w:t>
      </w:r>
    </w:p>
    <w:p>
      <w:pPr>
        <w:ind w:firstLine="640" w:firstLineChars="200"/>
        <w:jc w:val="left"/>
        <w:rPr>
          <w:rFonts w:hint="default" w:ascii="Times New Roman" w:hAnsi="Times New Roman" w:eastAsia="仿宋_GB2312" w:cs="Times New Roman"/>
          <w:bCs/>
          <w:color w:val="auto"/>
          <w:kern w:val="0"/>
          <w:sz w:val="32"/>
          <w:szCs w:val="32"/>
          <w:highlight w:val="none"/>
          <w:lang w:val="zh-CN"/>
        </w:rPr>
      </w:pP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一、财政拨款收入：指本级财政当年拨付的资金。</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auto"/>
          <w:kern w:val="0"/>
          <w:sz w:val="32"/>
          <w:szCs w:val="30"/>
          <w:highlight w:val="none"/>
        </w:rPr>
      </w:pPr>
      <w:r>
        <w:rPr>
          <w:rFonts w:hint="default" w:ascii="Times New Roman" w:hAnsi="Times New Roman" w:eastAsia="仿宋_GB2312" w:cs="Times New Roman"/>
          <w:color w:val="auto"/>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pStyle w:val="7"/>
        <w:widowControl w:val="0"/>
        <w:numPr>
          <w:ilvl w:val="0"/>
          <w:numId w:val="0"/>
        </w:numPr>
        <w:wordWrap/>
        <w:adjustRightInd/>
        <w:snapToGrid/>
        <w:spacing w:line="500" w:lineRule="exact"/>
        <w:ind w:firstLine="1040" w:firstLineChars="200"/>
        <w:jc w:val="left"/>
        <w:textAlignment w:val="auto"/>
        <w:rPr>
          <w:rFonts w:hint="default" w:ascii="Times New Roman" w:hAnsi="Times New Roman" w:eastAsia="宋体" w:cs="Times New Roman"/>
          <w:color w:val="auto"/>
          <w:sz w:val="52"/>
          <w:szCs w:val="52"/>
          <w:highlight w:val="none"/>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24"/>
        <w:lang w:val="en-US" w:eastAsia="zh-CN" w:bidi="ar-SA"/>
      </w:rPr>
      <w:pict>
        <v:shape id="_x0000_s4097"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32E5B"/>
    <w:multiLevelType w:val="singleLevel"/>
    <w:tmpl w:val="B6E32E5B"/>
    <w:lvl w:ilvl="0" w:tentative="0">
      <w:start w:val="4"/>
      <w:numFmt w:val="chineseCounting"/>
      <w:suff w:val="nothing"/>
      <w:lvlText w:val="%1、"/>
      <w:lvlJc w:val="left"/>
      <w:rPr>
        <w:rFonts w:hint="eastAsia"/>
      </w:rPr>
    </w:lvl>
  </w:abstractNum>
  <w:abstractNum w:abstractNumId="1">
    <w:nsid w:val="C0322F7B"/>
    <w:multiLevelType w:val="singleLevel"/>
    <w:tmpl w:val="C0322F7B"/>
    <w:lvl w:ilvl="0" w:tentative="0">
      <w:start w:val="1"/>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6AA781"/>
    <w:multiLevelType w:val="singleLevel"/>
    <w:tmpl w:val="216AA781"/>
    <w:lvl w:ilvl="0" w:tentative="0">
      <w:start w:val="3"/>
      <w:numFmt w:val="chineseCounting"/>
      <w:suff w:val="nothing"/>
      <w:lvlText w:val="（%1）"/>
      <w:lvlJc w:val="left"/>
      <w:rPr>
        <w:rFonts w:hint="eastAsia"/>
      </w:r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MDUwMzYyMWVjZTViMjhiNWVhYTE5YzFiYmE1NmU4ZGUifQ=="/>
  </w:docVars>
  <w:rsids>
    <w:rsidRoot w:val="00000000"/>
    <w:rsid w:val="5BEE11BA"/>
    <w:rsid w:val="5FF73AA2"/>
    <w:rsid w:val="7EEA23F9"/>
    <w:rsid w:val="F7A73B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4134</Words>
  <Characters>4559</Characters>
  <Lines>0</Lines>
  <Paragraphs>0</Paragraphs>
  <TotalTime>1</TotalTime>
  <ScaleCrop>false</ScaleCrop>
  <LinksUpToDate>false</LinksUpToDate>
  <CharactersWithSpaces>4647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2021-03-02T10:58:00Z</dcterms:created>
  <dc:creator>Administrator</dc:creator>
  <cp:lastModifiedBy>user</cp:lastModifiedBy>
  <dcterms:modified xsi:type="dcterms:W3CDTF">2024-11-20T18:16:17Z</dcterms:modified>
  <dc:title>2021年三亚市中医院单位预算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5D2FFEBCDC75492C8D9182EA2B19B802</vt:lpwstr>
  </property>
</Properties>
</file>