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ascii="黑体" w:hAnsi="黑体" w:eastAsia="黑体" w:cs="黑体"/>
          <w:sz w:val="84"/>
          <w:szCs w:val="84"/>
          <w:u w:val="single"/>
        </w:rPr>
      </w:pPr>
    </w:p>
    <w:p>
      <w:pPr>
        <w:rPr>
          <w:rFonts w:ascii="黑体" w:hAnsi="黑体" w:eastAsia="黑体" w:cs="黑体"/>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rPr>
        <w:t>三亚市天涯区</w:t>
      </w:r>
      <w:r>
        <w:rPr>
          <w:rFonts w:hint="eastAsia" w:asciiTheme="majorEastAsia" w:hAnsiTheme="majorEastAsia" w:eastAsiaTheme="majorEastAsia" w:cstheme="majorEastAsia"/>
          <w:sz w:val="52"/>
          <w:szCs w:val="52"/>
          <w:lang w:eastAsia="zh-CN"/>
        </w:rPr>
        <w:t>疾病预防控制中心</w:t>
      </w:r>
      <w:r>
        <w:rPr>
          <w:rFonts w:hint="eastAsia" w:asciiTheme="majorEastAsia" w:hAnsiTheme="majorEastAsia" w:eastAsiaTheme="majorEastAsia" w:cstheme="majorEastAsia"/>
          <w:sz w:val="52"/>
          <w:szCs w:val="52"/>
        </w:rPr>
        <w:t>202</w:t>
      </w:r>
      <w:r>
        <w:rPr>
          <w:rFonts w:hint="eastAsia" w:asciiTheme="majorEastAsia" w:hAnsiTheme="majorEastAsia" w:eastAsiaTheme="majorEastAsia" w:cstheme="majorEastAsia"/>
          <w:sz w:val="52"/>
          <w:szCs w:val="52"/>
          <w:lang w:val="en-US" w:eastAsia="zh-CN"/>
        </w:rPr>
        <w:t>1</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单位</w:t>
      </w:r>
      <w:r>
        <w:rPr>
          <w:rFonts w:hint="eastAsia" w:asciiTheme="majorEastAsia" w:hAnsiTheme="majorEastAsia" w:eastAsiaTheme="majorEastAsia" w:cstheme="majorEastAsia"/>
          <w:sz w:val="52"/>
          <w:szCs w:val="52"/>
        </w:rPr>
        <w:t>预算</w:t>
      </w:r>
      <w:r>
        <w:rPr>
          <w:rFonts w:hint="eastAsia" w:asciiTheme="majorEastAsia" w:hAnsiTheme="majorEastAsia" w:eastAsiaTheme="majorEastAsia" w:cstheme="majorEastAsia"/>
          <w:sz w:val="52"/>
          <w:szCs w:val="52"/>
          <w:lang w:val="en-US" w:eastAsia="zh-CN"/>
        </w:rPr>
        <w:t>说明</w:t>
      </w:r>
    </w:p>
    <w:p>
      <w:pPr>
        <w:ind w:firstLine="1680"/>
        <w:jc w:val="center"/>
        <w:rPr>
          <w:rFonts w:ascii="黑体" w:hAnsi="黑体" w:eastAsia="黑体" w:cs="黑体"/>
          <w:sz w:val="84"/>
          <w:szCs w:val="84"/>
        </w:rPr>
      </w:pPr>
    </w:p>
    <w:p>
      <w:pPr>
        <w:ind w:firstLine="1680"/>
        <w:jc w:val="center"/>
        <w:rPr>
          <w:rFonts w:ascii="黑体" w:hAnsi="黑体" w:eastAsia="黑体" w:cs="黑体"/>
          <w:sz w:val="84"/>
          <w:szCs w:val="84"/>
        </w:rPr>
      </w:pPr>
    </w:p>
    <w:p>
      <w:pPr>
        <w:ind w:firstLine="1680"/>
        <w:jc w:val="center"/>
        <w:rPr>
          <w:sz w:val="84"/>
          <w:szCs w:val="84"/>
        </w:rPr>
      </w:pPr>
    </w:p>
    <w:p>
      <w:pPr>
        <w:rPr>
          <w:sz w:val="84"/>
          <w:szCs w:val="84"/>
        </w:rPr>
      </w:pPr>
    </w:p>
    <w:p>
      <w:pPr>
        <w:rPr>
          <w:sz w:val="52"/>
          <w:szCs w:val="52"/>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概况</w:t>
      </w:r>
    </w:p>
    <w:p>
      <w:pPr>
        <w:pStyle w:val="6"/>
        <w:numPr>
          <w:ilvl w:val="0"/>
          <w:numId w:val="2"/>
        </w:numPr>
        <w:ind w:firstLineChars="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jc w:val="left"/>
        <w:rPr>
          <w:rFonts w:eastAsia="仿宋_GB2312"/>
          <w:sz w:val="32"/>
          <w:szCs w:val="32"/>
        </w:rPr>
      </w:pPr>
      <w:r>
        <w:rPr>
          <w:rFonts w:eastAsia="仿宋_GB2312"/>
          <w:sz w:val="32"/>
          <w:szCs w:val="32"/>
        </w:rPr>
        <w:t>贯彻</w:t>
      </w:r>
      <w:r>
        <w:rPr>
          <w:rFonts w:hint="eastAsia" w:eastAsia="仿宋_GB2312"/>
          <w:sz w:val="32"/>
          <w:szCs w:val="32"/>
          <w:lang w:eastAsia="zh-CN"/>
        </w:rPr>
        <w:t>执行中央和省、市有关疾病预防控制和妇幼保健工作的方针、政策；实施本区有关疾病预防控制和妇幼保健工作规划和措施。</w:t>
      </w:r>
    </w:p>
    <w:p>
      <w:pPr>
        <w:suppressAutoHyphens w:val="0"/>
        <w:spacing w:line="560" w:lineRule="exact"/>
        <w:ind w:firstLine="640" w:firstLineChars="200"/>
        <w:rPr>
          <w:rFonts w:hint="eastAsia" w:ascii="Times New Roman" w:hAnsi="Times New Roman" w:eastAsia="仿宋_GB2312"/>
          <w:kern w:val="2"/>
          <w:sz w:val="32"/>
          <w:szCs w:val="32"/>
          <w:lang w:eastAsia="zh-CN"/>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lang w:val="en-US" w:eastAsia="zh-CN"/>
        </w:rPr>
        <w:t>开展本区传染病控制监测计划工作；配合对重大疫情、传染病爆发流行组织调查、制定控制对策，并具体实施；开展传染病调查和宣传教育；负责对村（居）委会传染病防治工作的技术指导。</w:t>
      </w:r>
    </w:p>
    <w:p>
      <w:pPr>
        <w:numPr>
          <w:ilvl w:val="0"/>
          <w:numId w:val="0"/>
        </w:numPr>
        <w:ind w:firstLine="640"/>
        <w:jc w:val="left"/>
        <w:rPr>
          <w:rFonts w:hint="eastAsia" w:eastAsia="仿宋_GB2312"/>
          <w:sz w:val="32"/>
          <w:szCs w:val="32"/>
          <w:lang w:eastAsia="zh-CN"/>
        </w:rPr>
      </w:pPr>
      <w:r>
        <w:rPr>
          <w:rFonts w:hint="eastAsia" w:eastAsia="仿宋_GB2312"/>
          <w:sz w:val="32"/>
          <w:szCs w:val="32"/>
          <w:lang w:val="en-US" w:eastAsia="zh-CN"/>
        </w:rPr>
        <w:t>（三）</w:t>
      </w:r>
      <w:r>
        <w:rPr>
          <w:rFonts w:hint="eastAsia" w:eastAsia="仿宋_GB2312"/>
          <w:sz w:val="32"/>
          <w:szCs w:val="32"/>
          <w:lang w:eastAsia="zh-CN"/>
        </w:rPr>
        <w:t>开展本区免疫规划及相应疾病防治工作；制定本区计划免疫工作计划和工作分配；负责对本区计划免疫和相应疾病防治的技术指导。</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（四）开展本区人口和计划生育技术服务工作；做好计划生育优质服务、药具发放和优生优育工作；开展妇女常见病筛查和防治知识宣传活动。</w:t>
      </w:r>
    </w:p>
    <w:p>
      <w:pPr>
        <w:snapToGrid w:val="0"/>
        <w:spacing w:line="540" w:lineRule="exact"/>
        <w:ind w:firstLine="640" w:firstLineChars="200"/>
        <w:rPr>
          <w:rFonts w:hint="eastAsia" w:eastAsia="仿宋_GB2312"/>
          <w:sz w:val="32"/>
          <w:szCs w:val="32"/>
        </w:rPr>
      </w:pPr>
      <w:r>
        <w:rPr>
          <w:rFonts w:hint="eastAsia" w:eastAsia="仿宋_GB2312"/>
          <w:sz w:val="32"/>
          <w:szCs w:val="32"/>
          <w:lang w:val="en-US" w:eastAsia="zh-CN"/>
        </w:rPr>
        <w:t>（五）</w:t>
      </w:r>
      <w:r>
        <w:rPr>
          <w:rFonts w:hint="eastAsia" w:eastAsia="仿宋_GB2312"/>
          <w:sz w:val="32"/>
          <w:szCs w:val="32"/>
          <w:lang w:eastAsia="zh-CN"/>
        </w:rPr>
        <w:t>指导村（居）委会掌握辖区妇女和适龄儿童基本情况并分类建档，做好孕产妇和婴幼儿系统管理；提供孕产妇高危转诊和母乳喂养技术指导；开展儿童疾病防治等相关知识的宣教活动。</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（六）及时向上级疾病控制与妇幼保健所上报相关报表。</w:t>
      </w:r>
    </w:p>
    <w:p>
      <w:pPr>
        <w:snapToGrid w:val="0"/>
        <w:spacing w:line="540" w:lineRule="exact"/>
        <w:ind w:firstLine="640" w:firstLineChars="200"/>
        <w:rPr>
          <w:rFonts w:eastAsia="仿宋_GB2312"/>
          <w:sz w:val="32"/>
          <w:szCs w:val="32"/>
        </w:rPr>
      </w:pPr>
      <w:r>
        <w:rPr>
          <w:rFonts w:hint="eastAsia" w:eastAsia="仿宋_GB2312"/>
          <w:sz w:val="32"/>
          <w:szCs w:val="32"/>
          <w:lang w:val="en-US" w:eastAsia="zh-CN"/>
        </w:rPr>
        <w:t>（七）</w:t>
      </w:r>
      <w:r>
        <w:rPr>
          <w:rFonts w:hint="eastAsia" w:eastAsia="仿宋_GB2312"/>
          <w:sz w:val="32"/>
          <w:szCs w:val="32"/>
          <w:lang w:eastAsia="zh-CN"/>
        </w:rPr>
        <w:t>指导和督促各村（居）委会卫生服务站开展预防保健工作。</w:t>
      </w:r>
    </w:p>
    <w:p>
      <w:pPr>
        <w:numPr>
          <w:ilvl w:val="0"/>
          <w:numId w:val="0"/>
        </w:numPr>
        <w:ind w:firstLine="640"/>
        <w:jc w:val="left"/>
        <w:rPr>
          <w:rFonts w:hint="eastAsia" w:eastAsia="仿宋_GB2312"/>
          <w:sz w:val="32"/>
          <w:szCs w:val="32"/>
          <w:lang w:eastAsia="zh-CN"/>
        </w:rPr>
      </w:pPr>
      <w:r>
        <w:rPr>
          <w:rFonts w:hint="eastAsia" w:eastAsia="仿宋_GB2312"/>
          <w:sz w:val="32"/>
          <w:szCs w:val="32"/>
          <w:lang w:eastAsia="zh-CN"/>
        </w:rPr>
        <w:t>（</w:t>
      </w:r>
      <w:r>
        <w:rPr>
          <w:rFonts w:hint="eastAsia" w:eastAsia="仿宋_GB2312"/>
          <w:sz w:val="32"/>
          <w:szCs w:val="32"/>
          <w:lang w:val="en-US" w:eastAsia="zh-CN"/>
        </w:rPr>
        <w:t>八</w:t>
      </w:r>
      <w:r>
        <w:rPr>
          <w:rFonts w:hint="eastAsia" w:eastAsia="仿宋_GB2312"/>
          <w:sz w:val="32"/>
          <w:szCs w:val="32"/>
          <w:lang w:eastAsia="zh-CN"/>
        </w:rPr>
        <w:t>）承办区政府和上级部门交办的工作。</w:t>
      </w:r>
    </w:p>
    <w:p>
      <w:pPr>
        <w:jc w:val="both"/>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第二部分 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第三部分 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w:t>
      </w:r>
      <w:r>
        <w:rPr>
          <w:rFonts w:hint="eastAsia" w:ascii="黑体" w:hAnsi="黑体" w:eastAsia="黑体"/>
          <w:sz w:val="32"/>
          <w:szCs w:val="32"/>
          <w:lang w:eastAsia="zh-CN"/>
        </w:rPr>
        <w:t>疾病预防控制中心</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w:t>
      </w:r>
      <w:r>
        <w:rPr>
          <w:rFonts w:hint="eastAsia" w:ascii="仿宋_GB2312" w:hAnsi="黑体" w:eastAsia="仿宋_GB2312"/>
          <w:sz w:val="32"/>
          <w:szCs w:val="32"/>
          <w:lang w:eastAsia="zh-CN"/>
        </w:rPr>
        <w:t>包括</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cs="黑体"/>
          <w:sz w:val="32"/>
          <w:szCs w:val="32"/>
          <w:lang w:val="en-US"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万元，主要是卫生健康支出减少。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hd w:val="clear" w:color="auto" w:fill="FFFFFF" w:themeFill="background1"/>
        <w:ind w:firstLine="640"/>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一般行政管理事务（项）</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7</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与</w:t>
      </w:r>
      <w:r>
        <w:rPr>
          <w:rFonts w:hint="eastAsia" w:ascii="仿宋_GB2312" w:hAnsi="黑体" w:eastAsia="仿宋_GB2312"/>
          <w:color w:val="000000" w:themeColor="text1"/>
          <w:sz w:val="32"/>
          <w:szCs w:val="32"/>
        </w:rPr>
        <w:t>上年预算数</w:t>
      </w:r>
      <w:r>
        <w:rPr>
          <w:rFonts w:hint="eastAsia" w:ascii="仿宋_GB2312" w:hAnsi="黑体" w:eastAsia="仿宋_GB2312"/>
          <w:color w:val="000000" w:themeColor="text1"/>
          <w:sz w:val="32"/>
          <w:szCs w:val="32"/>
          <w:lang w:eastAsia="zh-CN"/>
        </w:rPr>
        <w:t>持平</w:t>
      </w:r>
      <w:r>
        <w:rPr>
          <w:rFonts w:hint="eastAsia" w:ascii="仿宋_GB2312" w:hAnsi="黑体" w:eastAsia="仿宋_GB2312"/>
          <w:color w:val="000000" w:themeColor="text1"/>
          <w:sz w:val="32"/>
          <w:szCs w:val="32"/>
        </w:rPr>
        <w:t>，主要是根据工作计划安排</w:t>
      </w:r>
      <w:r>
        <w:rPr>
          <w:rFonts w:hint="eastAsia" w:ascii="仿宋_GB2312" w:hAnsi="黑体" w:eastAsia="仿宋_GB2312"/>
          <w:color w:val="000000" w:themeColor="text1"/>
          <w:sz w:val="32"/>
          <w:szCs w:val="32"/>
          <w:lang w:eastAsia="zh-CN"/>
        </w:rPr>
        <w:t>。</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2</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其他卫生健康管理事务支出（项）</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万元，主要是根据工作计划安排，其他卫生健康管理事务支出项目减少。</w:t>
      </w:r>
    </w:p>
    <w:p>
      <w:pPr>
        <w:numPr>
          <w:ilvl w:val="0"/>
          <w:numId w:val="0"/>
        </w:numPr>
        <w:shd w:val="clear" w:color="auto" w:fill="FFFFFF" w:themeFill="background1"/>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3.</w:t>
      </w: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s="仿宋_GB2312"/>
          <w:color w:val="000000" w:themeColor="text1"/>
          <w:sz w:val="32"/>
          <w:szCs w:val="32"/>
          <w:lang w:eastAsia="zh-CN"/>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妇幼保健机构</w:t>
      </w:r>
      <w:r>
        <w:rPr>
          <w:rFonts w:hint="eastAsia" w:ascii="仿宋_GB2312" w:hAnsi="黑体" w:eastAsia="仿宋_GB2312" w:cs="仿宋_GB2312"/>
          <w:color w:val="000000" w:themeColor="text1"/>
          <w:sz w:val="32"/>
          <w:szCs w:val="32"/>
        </w:rPr>
        <w:t>（项）202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3</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万元，主要是根据工作计划安排，</w:t>
      </w:r>
      <w:r>
        <w:rPr>
          <w:rFonts w:hint="eastAsia" w:ascii="仿宋_GB2312" w:hAnsi="黑体" w:eastAsia="仿宋_GB2312" w:cs="仿宋_GB2312"/>
          <w:color w:val="000000" w:themeColor="text1"/>
          <w:sz w:val="32"/>
          <w:szCs w:val="32"/>
        </w:rPr>
        <w:t>其他基层医疗卫生机构支出减少。</w:t>
      </w:r>
    </w:p>
    <w:p>
      <w:pPr>
        <w:numPr>
          <w:ilvl w:val="0"/>
          <w:numId w:val="0"/>
        </w:numPr>
        <w:shd w:val="clear" w:color="auto" w:fill="FFFFFF" w:themeFill="background1"/>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4.</w:t>
      </w: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olor w:val="000000" w:themeColor="text1"/>
          <w:sz w:val="32"/>
          <w:szCs w:val="32"/>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olor w:val="000000" w:themeColor="text1"/>
          <w:sz w:val="32"/>
          <w:szCs w:val="32"/>
          <w:lang w:eastAsia="zh-CN"/>
        </w:rPr>
        <w:t>其他公共卫生支出</w:t>
      </w:r>
      <w:r>
        <w:rPr>
          <w:rFonts w:hint="eastAsia" w:ascii="仿宋_GB2312" w:hAnsi="黑体" w:eastAsia="仿宋_GB2312" w:cs="仿宋_GB2312"/>
          <w:color w:val="000000" w:themeColor="text1"/>
          <w:sz w:val="32"/>
          <w:szCs w:val="32"/>
        </w:rPr>
        <w:t>（项）</w:t>
      </w:r>
      <w:r>
        <w:rPr>
          <w:rFonts w:hint="eastAsia" w:ascii="仿宋_GB2312" w:hAnsi="黑体" w:eastAsia="仿宋_GB2312" w:cs="仿宋_GB2312"/>
          <w:color w:val="000000" w:themeColor="text1"/>
          <w:sz w:val="32"/>
          <w:szCs w:val="32"/>
          <w:lang w:val="en-US" w:eastAsia="zh-CN"/>
        </w:rPr>
        <w:t>2021年预算数为2万元，比上年预算数减少3万元，主要是工作计划安排调整，</w:t>
      </w:r>
      <w:r>
        <w:rPr>
          <w:rFonts w:hint="eastAsia" w:ascii="仿宋_GB2312" w:hAnsi="黑体" w:eastAsia="仿宋_GB2312"/>
          <w:color w:val="000000" w:themeColor="text1"/>
          <w:sz w:val="32"/>
          <w:szCs w:val="32"/>
          <w:lang w:eastAsia="zh-CN"/>
        </w:rPr>
        <w:t>其他公共卫生支出减少</w:t>
      </w:r>
      <w:r>
        <w:rPr>
          <w:rFonts w:hint="eastAsia" w:ascii="仿宋_GB2312" w:hAnsi="黑体" w:eastAsia="仿宋_GB2312" w:cs="仿宋_GB2312"/>
          <w:color w:val="000000" w:themeColor="text1"/>
          <w:sz w:val="32"/>
          <w:szCs w:val="32"/>
          <w:lang w:val="en-US" w:eastAsia="zh-CN"/>
        </w:rPr>
        <w:t xml:space="preserve">。   </w:t>
      </w:r>
    </w:p>
    <w:p>
      <w:pPr>
        <w:ind w:firstLine="640"/>
        <w:rPr>
          <w:rFonts w:ascii="黑体" w:hAnsi="黑体" w:eastAsia="黑体"/>
          <w:sz w:val="32"/>
          <w:szCs w:val="32"/>
        </w:rPr>
      </w:pPr>
      <w:r>
        <w:rPr>
          <w:rFonts w:hint="eastAsia" w:ascii="黑体" w:hAnsi="黑体" w:eastAsia="黑体"/>
          <w:sz w:val="32"/>
          <w:szCs w:val="32"/>
        </w:rPr>
        <w:t>三、关于三亚市天涯区</w:t>
      </w:r>
      <w:r>
        <w:rPr>
          <w:rFonts w:hint="eastAsia" w:ascii="黑体" w:hAnsi="黑体" w:eastAsia="黑体"/>
          <w:sz w:val="32"/>
          <w:szCs w:val="32"/>
          <w:lang w:eastAsia="zh-CN"/>
        </w:rPr>
        <w:t>疾病预防控制中心</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一般公共预算基本支出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sz w:val="32"/>
          <w:szCs w:val="32"/>
          <w:lang w:eastAsia="zh-CN"/>
        </w:rPr>
        <w:t>无“三公”经费预算。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单位2021</w:t>
      </w:r>
      <w:r>
        <w:rPr>
          <w:rFonts w:hint="eastAsia" w:ascii="仿宋_GB2312" w:hAnsi="黑体" w:eastAsia="仿宋_GB2312"/>
          <w:sz w:val="32"/>
          <w:szCs w:val="32"/>
        </w:rPr>
        <w:t>年政府性基金预算当年拨款0万元，比上年预算数持平。</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单位2021</w:t>
      </w:r>
      <w:r>
        <w:rPr>
          <w:rFonts w:hint="eastAsia" w:ascii="仿宋_GB2312" w:hAnsi="黑体" w:eastAsia="仿宋_GB2312"/>
          <w:sz w:val="32"/>
          <w:szCs w:val="32"/>
        </w:rPr>
        <w:t>年无政府性基金预算</w:t>
      </w:r>
      <w:r>
        <w:rPr>
          <w:rFonts w:hint="eastAsia" w:ascii="仿宋_GB2312" w:hAnsi="黑体" w:eastAsia="仿宋_GB2312"/>
          <w:sz w:val="32"/>
          <w:szCs w:val="32"/>
          <w:lang w:eastAsia="zh-CN"/>
        </w:rPr>
        <w:t>。</w:t>
      </w:r>
    </w:p>
    <w:p>
      <w:pPr>
        <w:ind w:firstLine="640" w:firstLineChars="20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sz w:val="32"/>
          <w:szCs w:val="32"/>
          <w:lang w:val="en-US" w:eastAsia="zh-CN"/>
        </w:rPr>
        <w:t>单位2021</w:t>
      </w:r>
      <w:r>
        <w:rPr>
          <w:rFonts w:hint="eastAsia" w:ascii="仿宋_GB2312" w:hAnsi="黑体" w:eastAsia="仿宋_GB2312"/>
          <w:sz w:val="32"/>
          <w:szCs w:val="32"/>
        </w:rPr>
        <w:t>年无政府性基金预算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16.56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16.56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2.56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15.46</w:t>
      </w:r>
      <w:r>
        <w:rPr>
          <w:rFonts w:hint="eastAsia" w:ascii="仿宋_GB2312" w:hAnsi="黑体" w:eastAsia="仿宋_GB2312"/>
          <w:sz w:val="32"/>
          <w:szCs w:val="32"/>
        </w:rPr>
        <w:t>%；一般</w:t>
      </w:r>
      <w:r>
        <w:rPr>
          <w:rFonts w:hint="eastAsia" w:ascii="仿宋_GB2312" w:hAnsi="黑体" w:eastAsia="仿宋_GB2312"/>
          <w:sz w:val="32"/>
          <w:szCs w:val="32"/>
          <w:lang w:val="en-US" w:eastAsia="zh-CN"/>
        </w:rPr>
        <w:t>公共</w:t>
      </w:r>
      <w:r>
        <w:rPr>
          <w:rFonts w:hint="eastAsia" w:ascii="仿宋_GB2312" w:hAnsi="黑体" w:eastAsia="仿宋_GB2312"/>
          <w:sz w:val="32"/>
          <w:szCs w:val="32"/>
        </w:rPr>
        <w:t>预算收入</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84.54</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2.44</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w:t>
      </w:r>
      <w:r>
        <w:rPr>
          <w:rFonts w:hint="eastAsia" w:ascii="黑体" w:hAnsi="黑体" w:eastAsia="黑体"/>
          <w:sz w:val="32"/>
          <w:szCs w:val="32"/>
          <w:lang w:eastAsia="zh-CN"/>
        </w:rPr>
        <w:t>疾病预防控制中心</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年支出预算</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16.56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2.44</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3.7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年12月31日，三亚市天涯区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辆，其中，领导干部用车0辆，机要通信应急用车0辆、一般执法执勤用车0辆、特种专业技术用车0辆、其他用车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sz w:val="32"/>
          <w:szCs w:val="32"/>
          <w:lang w:eastAsia="zh-CN"/>
        </w:rPr>
        <w:t>疾病预防控制中心</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个项目实行绩效目标管理，涉及一般预算收入</w:t>
      </w:r>
      <w:r>
        <w:rPr>
          <w:rFonts w:hint="eastAsia" w:ascii="仿宋_GB2312" w:hAnsi="黑体" w:eastAsia="仿宋_GB2312" w:cs="仿宋_GB2312"/>
          <w:sz w:val="32"/>
          <w:szCs w:val="32"/>
          <w:lang w:val="en-US" w:eastAsia="zh-CN"/>
        </w:rPr>
        <w:t>16.56</w:t>
      </w:r>
      <w:r>
        <w:rPr>
          <w:rFonts w:hint="eastAsia" w:ascii="仿宋_GB2312" w:hAnsi="黑体" w:eastAsia="仿宋_GB2312" w:cs="仿宋_GB2312"/>
          <w:sz w:val="32"/>
          <w:szCs w:val="32"/>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F89E"/>
    <w:multiLevelType w:val="singleLevel"/>
    <w:tmpl w:val="6049F89E"/>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0407"/>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F3698"/>
    <w:rsid w:val="01580A5F"/>
    <w:rsid w:val="051F2251"/>
    <w:rsid w:val="05361BA7"/>
    <w:rsid w:val="05C46063"/>
    <w:rsid w:val="079155E4"/>
    <w:rsid w:val="07A14FBE"/>
    <w:rsid w:val="07A339D6"/>
    <w:rsid w:val="09A02043"/>
    <w:rsid w:val="0DEC2479"/>
    <w:rsid w:val="0F88304E"/>
    <w:rsid w:val="117D4BDF"/>
    <w:rsid w:val="12280A9D"/>
    <w:rsid w:val="12EF564C"/>
    <w:rsid w:val="134071DB"/>
    <w:rsid w:val="13DB1967"/>
    <w:rsid w:val="14B3759D"/>
    <w:rsid w:val="16004E2A"/>
    <w:rsid w:val="166343FD"/>
    <w:rsid w:val="16F223F6"/>
    <w:rsid w:val="18FD567E"/>
    <w:rsid w:val="19FA24C0"/>
    <w:rsid w:val="1A514500"/>
    <w:rsid w:val="1B4247DD"/>
    <w:rsid w:val="1D081E8E"/>
    <w:rsid w:val="1D591D08"/>
    <w:rsid w:val="1DC52C20"/>
    <w:rsid w:val="1DEE747B"/>
    <w:rsid w:val="1E457501"/>
    <w:rsid w:val="1F8A1E5D"/>
    <w:rsid w:val="207D4B61"/>
    <w:rsid w:val="21BC2C0B"/>
    <w:rsid w:val="21DC0B20"/>
    <w:rsid w:val="251A678D"/>
    <w:rsid w:val="2A0D12DE"/>
    <w:rsid w:val="2AD604E3"/>
    <w:rsid w:val="2ADA44A5"/>
    <w:rsid w:val="2B1B33F1"/>
    <w:rsid w:val="2F281C3E"/>
    <w:rsid w:val="2FC850DF"/>
    <w:rsid w:val="2FF41955"/>
    <w:rsid w:val="303C00C0"/>
    <w:rsid w:val="30A1574C"/>
    <w:rsid w:val="315F72E7"/>
    <w:rsid w:val="31637C7F"/>
    <w:rsid w:val="31730E8D"/>
    <w:rsid w:val="31E97FC5"/>
    <w:rsid w:val="32C37055"/>
    <w:rsid w:val="33031B5F"/>
    <w:rsid w:val="33300003"/>
    <w:rsid w:val="340B54F0"/>
    <w:rsid w:val="35FF176B"/>
    <w:rsid w:val="363459BE"/>
    <w:rsid w:val="376E6BC5"/>
    <w:rsid w:val="37797DE6"/>
    <w:rsid w:val="38DE3924"/>
    <w:rsid w:val="38E42B0C"/>
    <w:rsid w:val="390D2648"/>
    <w:rsid w:val="39EF6B83"/>
    <w:rsid w:val="3A097CD5"/>
    <w:rsid w:val="3A107701"/>
    <w:rsid w:val="3A1331AA"/>
    <w:rsid w:val="3A6A2783"/>
    <w:rsid w:val="3D063F1B"/>
    <w:rsid w:val="3E773ADB"/>
    <w:rsid w:val="3E7F5471"/>
    <w:rsid w:val="3FDC4844"/>
    <w:rsid w:val="41340190"/>
    <w:rsid w:val="41BD71B7"/>
    <w:rsid w:val="437D3680"/>
    <w:rsid w:val="446200E4"/>
    <w:rsid w:val="45447468"/>
    <w:rsid w:val="45DF0BF7"/>
    <w:rsid w:val="460E2A0B"/>
    <w:rsid w:val="463E666B"/>
    <w:rsid w:val="46861E66"/>
    <w:rsid w:val="47257CF3"/>
    <w:rsid w:val="47F96CEB"/>
    <w:rsid w:val="486518B9"/>
    <w:rsid w:val="498A4887"/>
    <w:rsid w:val="49E74C5B"/>
    <w:rsid w:val="4AC64175"/>
    <w:rsid w:val="4B88134F"/>
    <w:rsid w:val="4BCA1ECD"/>
    <w:rsid w:val="4CC1731D"/>
    <w:rsid w:val="4D1C6ED5"/>
    <w:rsid w:val="4F3B17A3"/>
    <w:rsid w:val="515B095E"/>
    <w:rsid w:val="53380EB5"/>
    <w:rsid w:val="538B7B55"/>
    <w:rsid w:val="543D23EC"/>
    <w:rsid w:val="54705BFB"/>
    <w:rsid w:val="5622753A"/>
    <w:rsid w:val="59E77D1D"/>
    <w:rsid w:val="5ACB7BEB"/>
    <w:rsid w:val="5AD67C6F"/>
    <w:rsid w:val="5C4E0BA8"/>
    <w:rsid w:val="5CA37DBB"/>
    <w:rsid w:val="5D09016E"/>
    <w:rsid w:val="5D0F0170"/>
    <w:rsid w:val="5E23299D"/>
    <w:rsid w:val="5F267413"/>
    <w:rsid w:val="5F444A5B"/>
    <w:rsid w:val="5F815990"/>
    <w:rsid w:val="60293DC8"/>
    <w:rsid w:val="629A5A07"/>
    <w:rsid w:val="640B2828"/>
    <w:rsid w:val="665434EF"/>
    <w:rsid w:val="666E3C00"/>
    <w:rsid w:val="6B932B69"/>
    <w:rsid w:val="6B9F43FA"/>
    <w:rsid w:val="6CE30B2B"/>
    <w:rsid w:val="6E114AE0"/>
    <w:rsid w:val="6E904B8C"/>
    <w:rsid w:val="7168203B"/>
    <w:rsid w:val="72E84883"/>
    <w:rsid w:val="732D32AE"/>
    <w:rsid w:val="73DE36AD"/>
    <w:rsid w:val="744D2C47"/>
    <w:rsid w:val="749E4ECB"/>
    <w:rsid w:val="75D43B56"/>
    <w:rsid w:val="7740383A"/>
    <w:rsid w:val="781A23DD"/>
    <w:rsid w:val="7A041001"/>
    <w:rsid w:val="7A2F2BB9"/>
    <w:rsid w:val="7DFA013E"/>
    <w:rsid w:val="7E3F2D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761</Words>
  <Characters>4341</Characters>
  <Lines>36</Lines>
  <Paragraphs>10</Paragraphs>
  <TotalTime>107</TotalTime>
  <ScaleCrop>false</ScaleCrop>
  <LinksUpToDate>false</LinksUpToDate>
  <CharactersWithSpaces>5092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2021-03-26T08:47:05Z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