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240" w:lineRule="auto"/>
        <w:jc w:val="center"/>
        <w:rPr>
          <w:rFonts w:hint="eastAsia" w:ascii="Calibri" w:hAnsi="Calibri" w:eastAsia="宋体" w:cs="Times New Roman"/>
          <w:color w:val="000000" w:themeColor="text1"/>
          <w:kern w:val="2"/>
          <w:sz w:val="84"/>
          <w:szCs w:val="84"/>
          <w:u w:val="none"/>
        </w:rPr>
      </w:pPr>
    </w:p>
    <w:p>
      <w:pPr>
        <w:widowControl w:val="0"/>
        <w:adjustRightInd/>
        <w:snapToGrid/>
        <w:spacing w:after="0" w:line="240" w:lineRule="auto"/>
        <w:jc w:val="center"/>
        <w:rPr>
          <w:rFonts w:hint="eastAsia" w:ascii="Calibri" w:hAnsi="Calibri" w:eastAsia="宋体" w:cs="Times New Roman"/>
          <w:color w:val="000000" w:themeColor="text1"/>
          <w:kern w:val="2"/>
          <w:sz w:val="84"/>
          <w:szCs w:val="84"/>
          <w:u w:val="none"/>
        </w:rPr>
      </w:pPr>
    </w:p>
    <w:p>
      <w:pPr>
        <w:widowControl w:val="0"/>
        <w:adjustRightInd/>
        <w:snapToGrid/>
        <w:spacing w:after="0" w:line="240" w:lineRule="auto"/>
        <w:jc w:val="center"/>
        <w:rPr>
          <w:rFonts w:hint="eastAsia" w:ascii="Calibri" w:hAnsi="Calibri" w:eastAsia="宋体" w:cs="Times New Roman"/>
          <w:color w:val="000000" w:themeColor="text1"/>
          <w:kern w:val="2"/>
          <w:sz w:val="84"/>
          <w:szCs w:val="84"/>
          <w:u w:val="none"/>
        </w:rPr>
      </w:pPr>
    </w:p>
    <w:p>
      <w:pPr>
        <w:widowControl w:val="0"/>
        <w:adjustRightInd/>
        <w:snapToGrid/>
        <w:spacing w:after="0" w:line="240" w:lineRule="auto"/>
        <w:jc w:val="center"/>
        <w:rPr>
          <w:rFonts w:hint="eastAsia" w:ascii="Calibri" w:hAnsi="Calibri" w:eastAsia="宋体" w:cs="Times New Roman"/>
          <w:color w:val="000000" w:themeColor="text1"/>
          <w:kern w:val="2"/>
          <w:sz w:val="84"/>
          <w:szCs w:val="84"/>
          <w:u w:val="none"/>
        </w:rPr>
      </w:pPr>
    </w:p>
    <w:p>
      <w:pPr>
        <w:widowControl w:val="0"/>
        <w:adjustRightInd/>
        <w:snapToGrid/>
        <w:spacing w:after="0" w:line="240" w:lineRule="auto"/>
        <w:jc w:val="center"/>
        <w:rPr>
          <w:rFonts w:hint="eastAsia" w:ascii="Calibri" w:hAnsi="Calibri" w:eastAsia="宋体" w:cs="Times New Roman"/>
          <w:color w:val="000000" w:themeColor="text1"/>
          <w:kern w:val="2"/>
          <w:sz w:val="84"/>
          <w:szCs w:val="84"/>
          <w:u w:val="none"/>
        </w:rPr>
      </w:pPr>
      <w:r>
        <w:rPr>
          <w:rFonts w:hint="eastAsia" w:ascii="Calibri" w:hAnsi="Calibri" w:eastAsia="宋体" w:cs="Times New Roman"/>
          <w:color w:val="000000" w:themeColor="text1"/>
          <w:kern w:val="2"/>
          <w:sz w:val="84"/>
          <w:szCs w:val="84"/>
          <w:u w:val="none"/>
        </w:rPr>
        <w:t>2020年崖州区住房和城乡建设部门预算</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both"/>
        <w:rPr>
          <w:rFonts w:hint="eastAsia" w:ascii="黑体" w:hAnsi="黑体" w:eastAsia="黑体" w:cs="Times New Roman"/>
          <w:color w:val="000000" w:themeColor="text1"/>
          <w:kern w:val="2"/>
          <w:sz w:val="52"/>
          <w:szCs w:val="52"/>
          <w:u w:val="none"/>
        </w:r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sectPr>
          <w:pgSz w:w="11906" w:h="16838"/>
          <w:pgMar w:top="1440" w:right="1800" w:bottom="1440" w:left="1800" w:header="708" w:footer="708" w:gutter="0"/>
          <w:pgNumType w:fmt="numberInDash"/>
          <w:cols w:space="708" w:num="1"/>
          <w:docGrid w:linePitch="360" w:charSpace="0"/>
        </w:sectPr>
      </w:pPr>
    </w:p>
    <w:p>
      <w:pPr>
        <w:widowControl w:val="0"/>
        <w:adjustRightInd/>
        <w:snapToGrid/>
        <w:spacing w:after="0" w:line="240" w:lineRule="auto"/>
        <w:jc w:val="center"/>
        <w:rPr>
          <w:rFonts w:hint="eastAsia" w:ascii="黑体" w:hAnsi="黑体" w:eastAsia="黑体" w:cs="Times New Roman"/>
          <w:color w:val="000000" w:themeColor="text1"/>
          <w:kern w:val="2"/>
          <w:sz w:val="52"/>
          <w:szCs w:val="52"/>
          <w:u w:val="none"/>
        </w:rPr>
      </w:pPr>
      <w:r>
        <w:rPr>
          <w:rFonts w:hint="eastAsia" w:ascii="黑体" w:hAnsi="黑体" w:eastAsia="黑体" w:cs="Times New Roman"/>
          <w:color w:val="000000" w:themeColor="text1"/>
          <w:kern w:val="2"/>
          <w:sz w:val="52"/>
          <w:szCs w:val="52"/>
          <w:u w:val="none"/>
        </w:rPr>
        <w:t>目录</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第一部分</w:t>
      </w: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住房和城乡建设局部门）概况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一、主要职能</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二、部门预算单位构成</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第二部分  崖州区住房和城乡建设局（部门）2020年部门预算表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七、部门收支总表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八、部门收入总表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九、部门支出总表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十、项目支出绩效信息表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第三部分崖州区住房和城乡建设局2020年部门预算情况说明</w:t>
      </w:r>
    </w:p>
    <w:p>
      <w:pPr>
        <w:keepNext w:val="0"/>
        <w:keepLines w:val="0"/>
        <w:pageBreakBefore w:val="0"/>
        <w:widowControl/>
        <w:numPr>
          <w:ilvl w:val="0"/>
          <w:numId w:val="1"/>
        </w:numPr>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  名词解释</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atLeast"/>
        <w:textAlignment w:val="auto"/>
        <w:rPr>
          <w:rFonts w:hint="eastAsia" w:ascii="黑体" w:hAnsi="黑体" w:eastAsia="黑体" w:cs="黑体"/>
          <w:sz w:val="32"/>
          <w:szCs w:val="32"/>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atLeast"/>
        <w:textAlignment w:val="auto"/>
        <w:rPr>
          <w:rFonts w:hint="eastAsia" w:ascii="黑体" w:hAnsi="黑体" w:eastAsia="黑体" w:cs="黑体"/>
          <w:sz w:val="32"/>
          <w:szCs w:val="32"/>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atLeast"/>
        <w:textAlignment w:val="auto"/>
        <w:rPr>
          <w:rFonts w:hint="eastAsia" w:ascii="黑体" w:hAnsi="黑体" w:eastAsia="黑体" w:cs="黑体"/>
          <w:sz w:val="32"/>
          <w:szCs w:val="32"/>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atLeast"/>
        <w:textAlignment w:val="auto"/>
        <w:rPr>
          <w:rFonts w:hint="eastAsia" w:ascii="黑体" w:hAnsi="黑体" w:eastAsia="黑体" w:cs="黑体"/>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atLeast"/>
        <w:jc w:val="center"/>
        <w:textAlignment w:val="auto"/>
        <w:rPr>
          <w:rFonts w:hint="eastAsia" w:ascii="黑体" w:hAnsi="黑体" w:eastAsia="黑体" w:cs="黑体"/>
          <w:sz w:val="32"/>
          <w:szCs w:val="32"/>
        </w:rPr>
      </w:pPr>
      <w:r>
        <w:rPr>
          <w:rFonts w:hint="eastAsia" w:ascii="黑体" w:hAnsi="黑体" w:eastAsia="黑体" w:cs="黑体"/>
          <w:sz w:val="32"/>
          <w:szCs w:val="32"/>
        </w:rPr>
        <w:t>第一部分  （</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住房和城乡建设局（部门）概况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一、主要职能</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)贯彻落实党和国家、省市有关住房和城乡建设、交通作的方针政策、法律法规，执行市委市政府、区委区政府的决策部署和中国(海南)自由贸易试验区、中国特色自由贸易港的政策措施</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研究拟订并组织实施全区住房和城乡建设、交通运输工作的规划和措施，研究推进全区住房和城乡建设、交通运输行业体制改革，研究提出中国(海南)自由贸易试验区、中国特色</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按职责权限做好住房制度改革和保障性住房的规划建设、实物资产分配和管理等工作</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负责调查统计全区住房情况；负责全区棚户区改造和国有土地上房屋征收、补偿和安置工作，负责全区棚户区改造和进行监管；负责全区集体土地上的私房建设施工备粲、竣工验收收存有关资料</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(五)负责对全区物业管理工作活动进行监管；协助物业监督管理专项维修资金；负责全区白蚁防治预防工作。</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(六)负责全区农村建设信息统计和危险房屋的安全鉴定工作；负责全区农村住房安全和危旧房改造工作；统筹全区乡村民宿建设管理工作。</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指导落实重要经济目标的防护工作；组织实施全区人防、民防指挥通信、指挥信息、人防警报报知等系统建设；负责全区人防工程安全使用的综合管理；负责监管已建人防工程平时全区人防工程安全使用的综合管理；负责监管已建人防工程平时开发利用、维护安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(八)负责监管人民防空工程建设和开发利用地下空间兼顾人民防空防护要求。</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九)负责区管市政工程、公共建筑项目的建设及维护管理负责区管道路(除主、次干道之外)及相应道路路灯、排污、排水等市政基础设施及市政配套设施的建设、统筹协调工作；负责全区燃气设施的管理</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十)负责监管房屋和市政工程质量安全；指导房屋建筑及其附属设施和城市市政设施抗震设防工作。负责全区危险房屋的鉴定、安全生产、验收及资料归档管理；按职责权限负责全区在建建筑工地施工现场的安全检查监督和事故处理及综合整治、计划生育、文明施工等管理事项。依法对全区建筑行业进行监督管理；指导建筑市场诚信体系建设</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)负责城乡客运及有关设施规划和管理工作；负责全区机动车维修经营、停车场、洗车店的行业管理；维护公路交通区机动车维修经营、停车场、洗车店的行业管理；维护公路交通区交通运输行业各类行政执法。</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十二)负责全区农村公路建设、管理和养护工作；负责全区公路、水路和交通运输设施的监督管理。</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(十三)负责全区住房和城乡建设、人民防空和民防、交通运输等领域信息化建设和管理工作；负责开展住房和城乡建设、人民防空和民防、交通运输等领域各类信息数据的统计、分析、通报、评估。</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（十四）</w:t>
      </w:r>
      <w:r>
        <w:rPr>
          <w:rFonts w:hint="eastAsia" w:ascii="仿宋_GB2312" w:hAnsi="仿宋_GB2312" w:eastAsia="仿宋_GB2312" w:cs="仿宋_GB2312"/>
          <w:sz w:val="32"/>
          <w:szCs w:val="32"/>
        </w:rPr>
        <w:t>组织开展全区住房和城乡建设、人民防空和民防交通运输等领域的宣传教育培训工作</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按职责权限负责全区住房和城乡建设、人民防空和民防、交通运输等领域的行政审批和管理服务事项；负责相关领域行政诉讼的应诉工作；调解处理有关住房和城乡建设、交通运输方面的纠纷和群众举报、来信来访。</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十六)完成区委、区政府和上级部门交办的其他工作任务。</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二、部门预算单位构成</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纳入崖州区住房和城乡建设局（部门）2020年部门预算编制范围的二级预算单位包括：</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崖州区住房和城乡建设局</w:t>
      </w:r>
    </w:p>
    <w:p>
      <w:pPr>
        <w:keepNext w:val="0"/>
        <w:keepLines w:val="0"/>
        <w:pageBreakBefore w:val="0"/>
        <w:widowControl/>
        <w:kinsoku/>
        <w:wordWrap/>
        <w:overflowPunct/>
        <w:topLinePunct w:val="0"/>
        <w:autoSpaceDE/>
        <w:autoSpaceDN/>
        <w:bidi w:val="0"/>
        <w:adjustRightInd w:val="0"/>
        <w:snapToGrid w:val="0"/>
        <w:spacing w:after="0" w:line="560" w:lineRule="atLeast"/>
        <w:jc w:val="center"/>
        <w:textAlignment w:val="auto"/>
        <w:rPr>
          <w:rFonts w:hint="eastAsia" w:ascii="黑体" w:hAnsi="黑体" w:eastAsia="黑体" w:cs="黑体"/>
          <w:sz w:val="32"/>
          <w:szCs w:val="32"/>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崖州区住房和城乡建设局 （部门）2020年部门预算表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（此部分内容即为部门预算公开表）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atLeas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第三部分   崖州区住房和城乡建设局（部门）2020年部门预算情况说明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一、关于崖州区住房和城乡建设局（部门）2020年财政拨款收支预算情况的总体说明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财政拨款收支总预算3984.86万元。其中，收入总计3984.86万元，包括一般公共预算本年收入3984.86万元、上年结转0万元，政府性基金预算本年收入0万元、上年结转0万元；支出总计3984.86万元，包括社会保障和就业支出</w:t>
      </w:r>
      <w:r>
        <w:rPr>
          <w:rFonts w:hint="eastAsia" w:ascii="仿宋_GB2312" w:hAnsi="仿宋_GB2312" w:eastAsia="仿宋_GB2312" w:cs="仿宋_GB2312"/>
          <w:sz w:val="32"/>
          <w:szCs w:val="32"/>
          <w:lang w:val="en-US" w:eastAsia="zh-CN"/>
        </w:rPr>
        <w:t>16.23</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21.29</w:t>
      </w:r>
      <w:r>
        <w:rPr>
          <w:rFonts w:hint="eastAsia" w:ascii="仿宋_GB2312" w:hAnsi="仿宋_GB2312" w:eastAsia="仿宋_GB2312" w:cs="仿宋_GB2312"/>
          <w:sz w:val="32"/>
          <w:szCs w:val="32"/>
        </w:rPr>
        <w:t>万元、城乡社区支出</w:t>
      </w:r>
      <w:r>
        <w:rPr>
          <w:rFonts w:hint="eastAsia" w:ascii="仿宋_GB2312" w:hAnsi="仿宋_GB2312" w:eastAsia="仿宋_GB2312" w:cs="仿宋_GB2312"/>
          <w:sz w:val="32"/>
          <w:szCs w:val="32"/>
          <w:lang w:val="en-US" w:eastAsia="zh-CN"/>
        </w:rPr>
        <w:t>3048.76</w:t>
      </w:r>
      <w:r>
        <w:rPr>
          <w:rFonts w:hint="eastAsia" w:ascii="仿宋_GB2312" w:hAnsi="仿宋_GB2312" w:eastAsia="仿宋_GB2312" w:cs="仿宋_GB2312"/>
          <w:sz w:val="32"/>
          <w:szCs w:val="32"/>
        </w:rPr>
        <w:t>万元、农林水支出580</w:t>
      </w:r>
      <w:r>
        <w:rPr>
          <w:rFonts w:hint="eastAsia" w:ascii="仿宋_GB2312" w:hAnsi="仿宋_GB2312" w:eastAsia="仿宋_GB2312" w:cs="仿宋_GB2312"/>
          <w:sz w:val="32"/>
          <w:szCs w:val="32"/>
          <w:lang w:eastAsia="zh-CN"/>
        </w:rPr>
        <w:t>万元、交通运输支出</w:t>
      </w:r>
      <w:r>
        <w:rPr>
          <w:rFonts w:hint="eastAsia" w:ascii="仿宋_GB2312" w:hAnsi="仿宋_GB2312" w:eastAsia="仿宋_GB2312" w:cs="仿宋_GB2312"/>
          <w:sz w:val="32"/>
          <w:szCs w:val="32"/>
          <w:lang w:val="en-US" w:eastAsia="zh-CN"/>
        </w:rPr>
        <w:t>204万元、住房保障支出114.58万元，</w:t>
      </w:r>
      <w:r>
        <w:rPr>
          <w:rFonts w:hint="eastAsia" w:ascii="仿宋_GB2312" w:hAnsi="仿宋_GB2312" w:eastAsia="仿宋_GB2312" w:cs="仿宋_GB2312"/>
          <w:sz w:val="32"/>
          <w:szCs w:val="32"/>
        </w:rPr>
        <w:t>结转下年0万元。</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二、关于</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住房和城乡建设局（部门）2020年一般公共预算当年拨款情况说明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住房和城乡建设局（部门）2020年一般公共预算当年拨款3984.86万元，比上年预算数增加1427.12万元，主要是机构改革交安合并入我单位、项目增加。</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社会保障和就业支出（类）支出</w:t>
      </w:r>
      <w:r>
        <w:rPr>
          <w:rFonts w:hint="eastAsia" w:ascii="仿宋_GB2312" w:hAnsi="仿宋_GB2312" w:eastAsia="仿宋_GB2312" w:cs="仿宋_GB2312"/>
          <w:sz w:val="32"/>
          <w:szCs w:val="32"/>
          <w:lang w:val="en-US" w:eastAsia="zh-CN"/>
        </w:rPr>
        <w:t>16.23</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0.41</w:t>
      </w:r>
      <w:r>
        <w:rPr>
          <w:rFonts w:hint="eastAsia" w:ascii="仿宋_GB2312" w:hAnsi="仿宋_GB2312" w:eastAsia="仿宋_GB2312" w:cs="仿宋_GB2312"/>
          <w:sz w:val="32"/>
          <w:szCs w:val="32"/>
        </w:rPr>
        <w:t>%；卫生健康支出（类）支出</w:t>
      </w:r>
      <w:r>
        <w:rPr>
          <w:rFonts w:hint="eastAsia" w:ascii="仿宋_GB2312" w:hAnsi="仿宋_GB2312" w:eastAsia="仿宋_GB2312" w:cs="仿宋_GB2312"/>
          <w:sz w:val="32"/>
          <w:szCs w:val="32"/>
          <w:lang w:val="en-US" w:eastAsia="zh-CN"/>
        </w:rPr>
        <w:t>21.29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0.53</w:t>
      </w:r>
      <w:r>
        <w:rPr>
          <w:rFonts w:hint="eastAsia" w:ascii="仿宋_GB2312" w:hAnsi="仿宋_GB2312" w:eastAsia="仿宋_GB2312" w:cs="仿宋_GB2312"/>
          <w:sz w:val="32"/>
          <w:szCs w:val="32"/>
        </w:rPr>
        <w:t>%；城乡社区支出（类）支出</w:t>
      </w:r>
      <w:r>
        <w:rPr>
          <w:rFonts w:hint="eastAsia" w:ascii="仿宋_GB2312" w:hAnsi="仿宋_GB2312" w:eastAsia="仿宋_GB2312" w:cs="仿宋_GB2312"/>
          <w:sz w:val="32"/>
          <w:szCs w:val="32"/>
          <w:lang w:val="en-US" w:eastAsia="zh-CN"/>
        </w:rPr>
        <w:t>3048.76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76.52</w:t>
      </w:r>
      <w:r>
        <w:rPr>
          <w:rFonts w:hint="eastAsia" w:ascii="仿宋_GB2312" w:hAnsi="仿宋_GB2312" w:eastAsia="仿宋_GB2312" w:cs="仿宋_GB2312"/>
          <w:sz w:val="32"/>
          <w:szCs w:val="32"/>
        </w:rPr>
        <w:t>%；农林水支出（类）支出</w:t>
      </w:r>
      <w:r>
        <w:rPr>
          <w:rFonts w:hint="eastAsia" w:ascii="仿宋_GB2312" w:hAnsi="仿宋_GB2312" w:eastAsia="仿宋_GB2312" w:cs="仿宋_GB2312"/>
          <w:sz w:val="32"/>
          <w:szCs w:val="32"/>
          <w:lang w:val="en-US" w:eastAsia="zh-CN"/>
        </w:rPr>
        <w:t>580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14.56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。交通运输支出</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204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;住房保障支出</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114.58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2.88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1.行政运行2020年预算数为176.76万元，比上年预算数增加24.09万元，主要是机构改革交安合并入我单位、项目增加</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2.一般行政管理事务2020年预算数为30万元，比上年预算数减少295万元，主要是相应项目减少。</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三、关于</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住房和城乡建设局（部门）2020年一般公共预算基本支出情况说明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住房和城乡建设局（部门）2020年一般公共预算基本支出为228.86万元，其中：</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人员经费207.</w:t>
      </w:r>
      <w:r>
        <w:rPr>
          <w:rFonts w:hint="eastAsia" w:ascii="仿宋_GB2312" w:hAnsi="仿宋_GB2312" w:eastAsia="仿宋_GB2312" w:cs="仿宋_GB2312"/>
          <w:sz w:val="32"/>
          <w:szCs w:val="32"/>
          <w:lang w:val="en-US" w:eastAsia="zh-CN"/>
        </w:rPr>
        <w:t>09</w:t>
      </w:r>
      <w:r>
        <w:rPr>
          <w:rFonts w:hint="eastAsia" w:ascii="仿宋_GB2312" w:hAnsi="仿宋_GB2312" w:eastAsia="仿宋_GB2312" w:cs="仿宋_GB2312"/>
          <w:sz w:val="32"/>
          <w:szCs w:val="32"/>
        </w:rPr>
        <w:t>万元，主要包括：基本工资、津贴补贴、奖金、社会保障缴费</w:t>
      </w:r>
      <w:r>
        <w:rPr>
          <w:rFonts w:hint="eastAsia" w:ascii="仿宋_GB2312" w:hAnsi="仿宋_GB2312" w:eastAsia="仿宋_GB2312" w:cs="仿宋_GB2312"/>
          <w:sz w:val="32"/>
          <w:szCs w:val="32"/>
          <w:lang w:eastAsia="zh-CN"/>
        </w:rPr>
        <w:t>等。</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公用经费21.7</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万元，主要包括：办公费、咨询费、手续费、水费、电费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住房和城乡建设局（部门）2020年“三公”经费预算情况说明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住房和城乡建设局（部门）2020年一般公共预算“三公”经费预算数为1.87万元，其中：</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因公出国（境）经费0万元，与上年预算持平。主要原因包括：没有该业务支出。没有相关部门安排的2020年出国计划，拟安排出国（境）组0次，出国（境）0人。出国（境）团组主要包括：1.团组：目的地</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，人数为0人，天数为0天，主要任务无；公务用车购置及运行费1.87万元（其中，公务用车购置费0万元，购置公务车0辆，公务用车运行费1.87万元），与上年预算持平；公务接待费0万元，与上年预算持平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较上年预算增长0%。主要原因包括：无公务接待0批，0人。</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住房和城乡建设局（部门）2020年政府性基金预算“三公”经费预算数为1.87万元，其中：</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因公出国（境）经费0万元，与上年预算持平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较上年预算增长0%。持平主要原因包括：没有安排</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支出。没有接到相关部门安排的2020年出国计划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拟安排出国（境）组0次，出国（境）0人。出国（境）团组主要包括：1.团组：目的地无，人数为0人，天数为0天，主要任务无；2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公务用车购置及运行费1.87万元（其中，公务用车购置费0万元，购置公务车0辆，公务用车运行费1.87万元），与上年预算持平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较上年预算增长0%。公务接待费0万元，与上年预算持平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较上年预算增长0%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主要原因包括：没有</w:t>
      </w:r>
      <w:r>
        <w:rPr>
          <w:rFonts w:hint="eastAsia" w:ascii="仿宋_GB2312" w:hAnsi="仿宋_GB2312" w:eastAsia="仿宋_GB2312" w:cs="仿宋_GB2312"/>
          <w:sz w:val="32"/>
          <w:szCs w:val="32"/>
          <w:lang w:eastAsia="zh-CN"/>
        </w:rPr>
        <w:t>该项</w:t>
      </w:r>
      <w:r>
        <w:rPr>
          <w:rFonts w:hint="eastAsia" w:ascii="仿宋_GB2312" w:hAnsi="仿宋_GB2312" w:eastAsia="仿宋_GB2312" w:cs="仿宋_GB2312"/>
          <w:sz w:val="32"/>
          <w:szCs w:val="32"/>
        </w:rPr>
        <w:t>业务支出，公务接待0批，0人。</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五、关于</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w:t>
      </w:r>
      <w:bookmarkStart w:id="0" w:name="_GoBack"/>
      <w:bookmarkEnd w:id="0"/>
      <w:r>
        <w:rPr>
          <w:rFonts w:hint="eastAsia" w:ascii="黑体" w:hAnsi="黑体" w:eastAsia="黑体" w:cs="黑体"/>
          <w:sz w:val="32"/>
          <w:szCs w:val="32"/>
        </w:rPr>
        <w:t>2020年政府性基金预算当年拨款情况说明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（一）政府性基金预算当年规模变化情况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住房和城乡建设局（部门）2020年政府性基金预算当年拨款0万元，比上年预算数持平0万元，主要是无该项资金</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（二）政府性基金预算当年拨款结构情况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科学技术支出（类）支出0万元，占0%；文化体育与传媒支出（类）支出0万元，占0%；社会保障和就业支出（类）支出0万元，占0%；节能环保（类）支出0万元，占0%</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（三）政府性基金预算当年拨款具体使用情况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科学技术支出（类）核电站乏燃料处理处置基金支出（款）乏燃料运输（项）2020年预算数为0万元，比上年预算数增加/减少/持平0万元，主要是无</w:t>
      </w:r>
      <w:r>
        <w:rPr>
          <w:rFonts w:hint="eastAsia" w:ascii="仿宋_GB2312" w:hAnsi="仿宋_GB2312" w:eastAsia="仿宋_GB2312" w:cs="仿宋_GB2312"/>
          <w:sz w:val="32"/>
          <w:szCs w:val="32"/>
          <w:lang w:eastAsia="zh-CN"/>
        </w:rPr>
        <w:t>该项经费。</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 科学技术支出（类）核电站乏燃料处理处置基金支出（款）乏燃料离堆贮存（项）0年预算数为0万元，比上年预算数持平0万元，主要是无</w:t>
      </w:r>
      <w:r>
        <w:rPr>
          <w:rFonts w:hint="eastAsia" w:ascii="仿宋_GB2312" w:hAnsi="仿宋_GB2312" w:eastAsia="仿宋_GB2312" w:cs="仿宋_GB2312"/>
          <w:sz w:val="32"/>
          <w:szCs w:val="32"/>
          <w:lang w:eastAsia="zh-CN"/>
        </w:rPr>
        <w:t>该项经费。</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六、关于</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住房和城乡建设局（部门）2020年收支预算情况的总体说明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住房和城乡建设局（部门）所有收入和支出均纳入部门预算管理。收入包括：一般公共预算收入、政府性基金收入、事业收入；支出包括：一般公共服务支出、外交支出、国防支出、公共安全支出、教育支出。</w:t>
      </w: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住房和城乡建设局（部门）2020年收支总预算3984.86万元。</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七、关于</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住房和城乡建设局部门2020年收入预算情况说明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收入预算3984.86万元，其中：上年结转0万元，占0%；一般公共预算收入3984.86万元，占100%；政府性基金收入0万元，占0%；专项收入0万元，占0%；比上年预算数增加1427.12万元，主要是机构改革原交安局合并入我单位、项目增加。</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八、关于</w:t>
      </w:r>
      <w:r>
        <w:rPr>
          <w:rFonts w:hint="eastAsia" w:ascii="黑体" w:hAnsi="黑体" w:eastAsia="黑体" w:cs="黑体"/>
          <w:sz w:val="32"/>
          <w:szCs w:val="32"/>
          <w:lang w:eastAsia="zh-CN"/>
        </w:rPr>
        <w:t>崖州区</w:t>
      </w:r>
      <w:r>
        <w:rPr>
          <w:rFonts w:hint="eastAsia" w:ascii="黑体" w:hAnsi="黑体" w:eastAsia="黑体" w:cs="黑体"/>
          <w:sz w:val="32"/>
          <w:szCs w:val="32"/>
        </w:rPr>
        <w:t>住房和城乡建设局（部门）2020年支出预算情况说明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住房和城乡建设局（部门）2020年支出预算3984.86万元，其中：基本支出228.</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6万元，占5.8%；项目支出3756万元，占94.2%。比上年预算数增加1427.12万元，主要是项目增加。</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九、其他重要事项的情况说明</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住房和城乡建设局（部门）本级机关运行经费预算</w:t>
      </w:r>
      <w:r>
        <w:rPr>
          <w:rFonts w:hint="eastAsia" w:ascii="仿宋_GB2312" w:hAnsi="仿宋_GB2312" w:eastAsia="仿宋_GB2312" w:cs="仿宋_GB2312"/>
          <w:sz w:val="32"/>
          <w:szCs w:val="32"/>
          <w:lang w:val="en-US" w:eastAsia="zh-CN"/>
        </w:rPr>
        <w:t>21.77</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住房和城乡建设局（部门）本级及下属各预算单位政府采购预算总额0万元，其中：政府采购货物预算0万元，政府采购工程预算0元，政府采购服务预算0万元。</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2019年12月31日，住房和城乡建设局本级及下属各预算单位共有车辆7辆，其中，领导干部用车0辆，机要通信应急用车1、一般执法执勤用车6辆、特种专业技术用车0辆、其他用车0辆。单位价值100万元以上设备0台（套）。</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eastAsia="zh-CN"/>
        </w:rPr>
        <w:t>崖州区</w:t>
      </w:r>
      <w:r>
        <w:rPr>
          <w:rFonts w:hint="eastAsia" w:ascii="仿宋_GB2312" w:hAnsi="仿宋_GB2312" w:eastAsia="仿宋_GB2312" w:cs="仿宋_GB2312"/>
          <w:sz w:val="32"/>
          <w:szCs w:val="32"/>
        </w:rPr>
        <w:t>住房和城乡建设局（部门）12个项目实行绩效目标管理，涉及一般公共预算</w:t>
      </w:r>
      <w:r>
        <w:rPr>
          <w:rFonts w:hint="eastAsia" w:ascii="仿宋_GB2312" w:hAnsi="仿宋_GB2312" w:eastAsia="仿宋_GB2312" w:cs="仿宋_GB2312"/>
          <w:sz w:val="32"/>
          <w:szCs w:val="32"/>
          <w:lang w:val="en-US" w:eastAsia="zh-CN"/>
        </w:rPr>
        <w:t>3634</w:t>
      </w:r>
      <w:r>
        <w:rPr>
          <w:rFonts w:hint="eastAsia" w:ascii="仿宋_GB2312" w:hAnsi="仿宋_GB2312" w:eastAsia="仿宋_GB2312" w:cs="仿宋_GB2312"/>
          <w:sz w:val="32"/>
          <w:szCs w:val="32"/>
        </w:rPr>
        <w:t>万元、政府性基金0万元。</w:t>
      </w:r>
    </w:p>
    <w:p>
      <w:pPr>
        <w:keepNext w:val="0"/>
        <w:keepLines w:val="0"/>
        <w:pageBreakBefore w:val="0"/>
        <w:widowControl/>
        <w:kinsoku/>
        <w:wordWrap/>
        <w:overflowPunct/>
        <w:topLinePunct w:val="0"/>
        <w:autoSpaceDE/>
        <w:autoSpaceDN/>
        <w:bidi w:val="0"/>
        <w:adjustRightInd w:val="0"/>
        <w:snapToGrid w:val="0"/>
        <w:spacing w:after="0" w:line="560" w:lineRule="atLeas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第四部分  名词解释</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一、一般公共预算收入：指用于反映税收收入、专项收入、行政事业性收费收入、罚没收入、国有资源（资产）有偿使用收入、政府住房基金收入、捐赠收入等财政收入。</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二、政府性基金收入：指是用于反映政府为支持某项事业发展或特定基础设施建设，依法依规向公民、法人和其他组织征收的以及出让土地、发行彩票等方式取得的具有专门用途的资金。</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三、其他财政资金收入：指用于反映政府为履行职责，依法依规收取、提取和安排使用的未纳入预算管理的除教育收费以外的各种财政性资金。 </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四、收回存量资金收入：指用于反映各级财政部门收回的上缴国库但不列入预算的存量资金，包括收回单位实有账户存量资金、收回国库集中支付结余资金、收回转移支付存量资金和收回财政专户存量资金。 </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五、事业收入：指用于反映事业单位开展专业业务活动及辅助活动所取得的收入。 </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六、事业单位经营收入：指用于反映事业单位在专业活动及辅助活动之外开展非独立核算经营活动取得的收入。</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七、其他收入：指用于反映除上述一般公共预算收入、政府性基金收入、其他财政性资金收入、收回存量资金收入、事业收入、事业单位经营收入和往来收入以外的收入。</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用事业基金弥补收支差额：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九、上年结转结余收入：指用于反映以前年度尚未完成、结转到本年仍按规定用途继续使用的资金等。</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十、一般公共服务（类）××事务（款）行政运行（项）：指××用于保障机构正常运行、开展日常工作的基本支出。</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十一、一般公共服务（类）××事务（款）一般行政管理事务（项）：指用于××等未单独设置项级科目的项目支出。</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十二、基本支出：指行政事业单位用于为保障其机构正常运转、完成日常工作任务而发生的人员支出和公用支出。</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十三、项目支出：指在基本支出之外为完成特定的行政工作任务或事业发展目标所发生的支出。</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十五、机关运行经费：包括办公及印刷费、邮电费、差旅费、会议费、日常维修费、专用材料及一般设备购置费、办公用房水电费、办公用房取暖费、办公用房物业管理费、公务用车运行维护费以及其他费用。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三亚市崖州区住房和城乡建设局</w:t>
      </w:r>
    </w:p>
    <w:p>
      <w:pPr>
        <w:keepNext w:val="0"/>
        <w:keepLines w:val="0"/>
        <w:pageBreakBefore w:val="0"/>
        <w:widowControl/>
        <w:kinsoku/>
        <w:wordWrap/>
        <w:overflowPunct/>
        <w:topLinePunct w:val="0"/>
        <w:autoSpaceDE/>
        <w:autoSpaceDN/>
        <w:bidi w:val="0"/>
        <w:adjustRightInd w:val="0"/>
        <w:snapToGrid w:val="0"/>
        <w:spacing w:after="0" w:line="560" w:lineRule="atLeas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2020年4月29日</w:t>
      </w:r>
    </w:p>
    <w:sectPr>
      <w:footerReference r:id="rId3" w:type="default"/>
      <w:pgSz w:w="11906" w:h="16838"/>
      <w:pgMar w:top="1440" w:right="1800" w:bottom="1440" w:left="1800" w:header="708" w:footer="708" w:gutter="0"/>
      <w:pgNumType w:fmt="numberInDash"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1F722"/>
    <w:multiLevelType w:val="singleLevel"/>
    <w:tmpl w:val="1911F722"/>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hdrShapeDefaults>
    <o:shapelayout v:ext="edit">
      <o:idmap v:ext="edit" data="3,4"/>
    </o:shapelayout>
  </w:hdrShapeDefaults>
  <w:compat>
    <w:useFELayout/>
    <w:compatSetting w:name="compatibilityMode" w:uri="http://schemas.microsoft.com/office/word" w:val="12"/>
  </w:compat>
  <w:rsids>
    <w:rsidRoot w:val="00D31D50"/>
    <w:rsid w:val="00323B43"/>
    <w:rsid w:val="003D37D8"/>
    <w:rsid w:val="00426133"/>
    <w:rsid w:val="004358AB"/>
    <w:rsid w:val="008B7726"/>
    <w:rsid w:val="00D31D50"/>
    <w:rsid w:val="019F0639"/>
    <w:rsid w:val="04097BFF"/>
    <w:rsid w:val="06330D1F"/>
    <w:rsid w:val="068F5CBB"/>
    <w:rsid w:val="06DB2228"/>
    <w:rsid w:val="0A2A1DF1"/>
    <w:rsid w:val="0A344734"/>
    <w:rsid w:val="0D151BD7"/>
    <w:rsid w:val="0F675025"/>
    <w:rsid w:val="12240474"/>
    <w:rsid w:val="13E12742"/>
    <w:rsid w:val="14767C1E"/>
    <w:rsid w:val="163248B8"/>
    <w:rsid w:val="16410082"/>
    <w:rsid w:val="17BA7345"/>
    <w:rsid w:val="1876071E"/>
    <w:rsid w:val="1A2F6EF2"/>
    <w:rsid w:val="1B4F457E"/>
    <w:rsid w:val="21E334DC"/>
    <w:rsid w:val="262473D6"/>
    <w:rsid w:val="26E96E3F"/>
    <w:rsid w:val="2705543F"/>
    <w:rsid w:val="2BFD7F27"/>
    <w:rsid w:val="2C6C6B3C"/>
    <w:rsid w:val="2D057146"/>
    <w:rsid w:val="2DBE2A53"/>
    <w:rsid w:val="31A90906"/>
    <w:rsid w:val="32BD1E12"/>
    <w:rsid w:val="33A11FC9"/>
    <w:rsid w:val="34532247"/>
    <w:rsid w:val="34D949E9"/>
    <w:rsid w:val="363E5732"/>
    <w:rsid w:val="3775771F"/>
    <w:rsid w:val="37B02181"/>
    <w:rsid w:val="43CE48C1"/>
    <w:rsid w:val="43EA44D5"/>
    <w:rsid w:val="46827498"/>
    <w:rsid w:val="46FD3E0E"/>
    <w:rsid w:val="4EE84FA0"/>
    <w:rsid w:val="4F03468A"/>
    <w:rsid w:val="50813AEA"/>
    <w:rsid w:val="50D1754A"/>
    <w:rsid w:val="51786B02"/>
    <w:rsid w:val="55E34976"/>
    <w:rsid w:val="5D16755B"/>
    <w:rsid w:val="5E5F5A35"/>
    <w:rsid w:val="5EF9026C"/>
    <w:rsid w:val="626C6075"/>
    <w:rsid w:val="65283A1A"/>
    <w:rsid w:val="67B979A3"/>
    <w:rsid w:val="68D73D21"/>
    <w:rsid w:val="69BE3DB7"/>
    <w:rsid w:val="6E223096"/>
    <w:rsid w:val="722C1D11"/>
    <w:rsid w:val="723715AE"/>
    <w:rsid w:val="78FD5272"/>
    <w:rsid w:val="791F3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38</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姚子璇</cp:lastModifiedBy>
  <dcterms:modified xsi:type="dcterms:W3CDTF">2020-04-30T08:39:28Z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