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Calibri" w:hAnsi="Calibri" w:cs="Calibri"/>
          <w:i w:val="0"/>
          <w:caps w:val="0"/>
          <w:color w:val="222222"/>
          <w:spacing w:val="0"/>
          <w:sz w:val="84"/>
          <w:szCs w:val="8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Calibri" w:hAnsi="Calibri" w:cs="Calibri"/>
          <w:i w:val="0"/>
          <w:caps w:val="0"/>
          <w:color w:val="222222"/>
          <w:spacing w:val="0"/>
          <w:sz w:val="84"/>
          <w:szCs w:val="8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Calibri" w:hAnsi="Calibri" w:cs="Calibri"/>
          <w:i w:val="0"/>
          <w:caps w:val="0"/>
          <w:color w:val="222222"/>
          <w:spacing w:val="0"/>
          <w:sz w:val="84"/>
          <w:szCs w:val="8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ascii="Calibri" w:hAnsi="Calibri" w:cs="Calibri"/>
          <w:i w:val="0"/>
          <w:caps w:val="0"/>
          <w:color w:val="222222"/>
          <w:spacing w:val="0"/>
          <w:sz w:val="21"/>
          <w:szCs w:val="21"/>
        </w:rPr>
      </w:pPr>
      <w:r>
        <w:rPr>
          <w:rFonts w:hint="default" w:ascii="Calibri" w:hAnsi="Calibri" w:cs="Calibri"/>
          <w:i w:val="0"/>
          <w:caps w:val="0"/>
          <w:color w:val="222222"/>
          <w:spacing w:val="0"/>
          <w:sz w:val="84"/>
          <w:szCs w:val="84"/>
        </w:rPr>
        <w:t>2020</w:t>
      </w:r>
      <w:r>
        <w:rPr>
          <w:rFonts w:hint="eastAsia" w:ascii="宋体" w:hAnsi="宋体" w:eastAsia="宋体" w:cs="宋体"/>
          <w:i w:val="0"/>
          <w:caps w:val="0"/>
          <w:color w:val="222222"/>
          <w:spacing w:val="0"/>
          <w:sz w:val="84"/>
          <w:szCs w:val="84"/>
        </w:rPr>
        <w:t>年三亚市自然资源和规划局部门预算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1680"/>
        <w:jc w:val="center"/>
        <w:rPr>
          <w:rFonts w:hint="default" w:ascii="Calibri" w:hAnsi="Calibri" w:cs="Calibri"/>
          <w:i w:val="0"/>
          <w:caps w:val="0"/>
          <w:color w:val="222222"/>
          <w:spacing w:val="0"/>
          <w:sz w:val="21"/>
          <w:szCs w:val="21"/>
        </w:rPr>
      </w:pPr>
      <w:r>
        <w:rPr>
          <w:rFonts w:hint="default" w:ascii="Calibri" w:hAnsi="Calibri" w:cs="Calibri"/>
          <w:i w:val="0"/>
          <w:caps w:val="0"/>
          <w:color w:val="222222"/>
          <w:spacing w:val="0"/>
          <w:sz w:val="84"/>
          <w:szCs w:val="84"/>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1680"/>
        <w:jc w:val="center"/>
        <w:rPr>
          <w:rFonts w:hint="default" w:ascii="Calibri" w:hAnsi="Calibri" w:cs="Calibri"/>
          <w:i w:val="0"/>
          <w:caps w:val="0"/>
          <w:color w:val="222222"/>
          <w:spacing w:val="0"/>
          <w:sz w:val="84"/>
          <w:szCs w:val="8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1680"/>
        <w:jc w:val="center"/>
        <w:rPr>
          <w:rFonts w:hint="default" w:ascii="Calibri" w:hAnsi="Calibri" w:cs="Calibri"/>
          <w:i w:val="0"/>
          <w:caps w:val="0"/>
          <w:color w:val="222222"/>
          <w:spacing w:val="0"/>
          <w:sz w:val="84"/>
          <w:szCs w:val="8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1680"/>
        <w:jc w:val="center"/>
        <w:rPr>
          <w:rFonts w:hint="default" w:ascii="Calibri" w:hAnsi="Calibri" w:cs="Calibri"/>
          <w:i w:val="0"/>
          <w:caps w:val="0"/>
          <w:color w:val="222222"/>
          <w:spacing w:val="0"/>
          <w:sz w:val="84"/>
          <w:szCs w:val="8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1680"/>
        <w:jc w:val="center"/>
        <w:rPr>
          <w:rFonts w:hint="default" w:ascii="Calibri" w:hAnsi="Calibri" w:cs="Calibri"/>
          <w:i w:val="0"/>
          <w:caps w:val="0"/>
          <w:color w:val="222222"/>
          <w:spacing w:val="0"/>
          <w:sz w:val="21"/>
          <w:szCs w:val="21"/>
        </w:rPr>
      </w:pPr>
      <w:r>
        <w:rPr>
          <w:rFonts w:hint="default" w:ascii="Calibri" w:hAnsi="Calibri" w:cs="Calibri"/>
          <w:i w:val="0"/>
          <w:caps w:val="0"/>
          <w:color w:val="222222"/>
          <w:spacing w:val="0"/>
          <w:sz w:val="84"/>
          <w:szCs w:val="84"/>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both"/>
        <w:rPr>
          <w:rFonts w:hint="default" w:ascii="Calibri" w:hAnsi="Calibri" w:cs="Calibri"/>
          <w:i w:val="0"/>
          <w:caps w:val="0"/>
          <w:color w:val="222222"/>
          <w:spacing w:val="0"/>
          <w:sz w:val="21"/>
          <w:szCs w:val="21"/>
        </w:rPr>
      </w:pPr>
      <w:r>
        <w:rPr>
          <w:rFonts w:hint="default" w:ascii="Calibri" w:hAnsi="Calibri" w:cs="Calibri"/>
          <w:i w:val="0"/>
          <w:caps w:val="0"/>
          <w:color w:val="222222"/>
          <w:spacing w:val="0"/>
          <w:sz w:val="84"/>
          <w:szCs w:val="84"/>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Calibri" w:hAnsi="Calibri" w:cs="Calibri"/>
          <w:i w:val="0"/>
          <w:caps w:val="0"/>
          <w:color w:val="222222"/>
          <w:spacing w:val="0"/>
          <w:sz w:val="21"/>
          <w:szCs w:val="21"/>
        </w:rPr>
      </w:pPr>
      <w:r>
        <w:rPr>
          <w:rFonts w:ascii="黑体" w:hAnsi="宋体" w:eastAsia="黑体" w:cs="黑体"/>
          <w:i w:val="0"/>
          <w:caps w:val="0"/>
          <w:color w:val="222222"/>
          <w:spacing w:val="0"/>
          <w:sz w:val="52"/>
          <w:szCs w:val="52"/>
        </w:rPr>
        <w:t>目录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320" w:right="0" w:hanging="1320"/>
        <w:jc w:val="left"/>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第一部分  </w:t>
      </w:r>
      <w:r>
        <w:rPr>
          <w:rFonts w:ascii="仿宋" w:hAnsi="仿宋" w:eastAsia="仿宋" w:cs="仿宋"/>
          <w:i w:val="0"/>
          <w:caps w:val="0"/>
          <w:color w:val="222222"/>
          <w:spacing w:val="0"/>
          <w:sz w:val="32"/>
          <w:szCs w:val="32"/>
        </w:rPr>
        <w:t> </w:t>
      </w:r>
      <w:r>
        <w:rPr>
          <w:rFonts w:hint="eastAsia" w:ascii="黑体" w:hAnsi="宋体" w:eastAsia="黑体" w:cs="黑体"/>
          <w:i w:val="0"/>
          <w:caps w:val="0"/>
          <w:color w:val="222222"/>
          <w:spacing w:val="0"/>
          <w:sz w:val="32"/>
          <w:szCs w:val="32"/>
        </w:rPr>
        <w:t>三亚市自然资源和规划局（部门）概况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720" w:right="0" w:hanging="720"/>
        <w:jc w:val="left"/>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一、</w:t>
      </w:r>
      <w:r>
        <w:rPr>
          <w:rFonts w:ascii="Times New Roman" w:hAnsi="Times New Roman" w:eastAsia="黑体" w:cs="Times New Roman"/>
          <w:i w:val="0"/>
          <w:caps w:val="0"/>
          <w:color w:val="222222"/>
          <w:spacing w:val="0"/>
          <w:sz w:val="14"/>
          <w:szCs w:val="14"/>
        </w:rPr>
        <w:t> </w:t>
      </w:r>
      <w:r>
        <w:rPr>
          <w:rFonts w:hint="eastAsia" w:ascii="黑体" w:hAnsi="宋体" w:eastAsia="黑体" w:cs="黑体"/>
          <w:i w:val="0"/>
          <w:caps w:val="0"/>
          <w:color w:val="222222"/>
          <w:spacing w:val="0"/>
          <w:sz w:val="32"/>
          <w:szCs w:val="32"/>
        </w:rPr>
        <w:t>主要职能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720" w:right="0" w:hanging="720"/>
        <w:jc w:val="left"/>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二、</w:t>
      </w:r>
      <w:r>
        <w:rPr>
          <w:rFonts w:hint="default" w:ascii="Times New Roman" w:hAnsi="Times New Roman" w:eastAsia="黑体" w:cs="Times New Roman"/>
          <w:i w:val="0"/>
          <w:caps w:val="0"/>
          <w:color w:val="222222"/>
          <w:spacing w:val="0"/>
          <w:sz w:val="14"/>
          <w:szCs w:val="14"/>
        </w:rPr>
        <w:t> </w:t>
      </w:r>
      <w:r>
        <w:rPr>
          <w:rFonts w:hint="eastAsia" w:ascii="黑体" w:hAnsi="宋体" w:eastAsia="黑体" w:cs="黑体"/>
          <w:i w:val="0"/>
          <w:caps w:val="0"/>
          <w:color w:val="222222"/>
          <w:spacing w:val="0"/>
          <w:sz w:val="32"/>
          <w:szCs w:val="32"/>
        </w:rPr>
        <w:t>部门预算单位构成</w:t>
      </w:r>
      <w:r>
        <w:rPr>
          <w:rFonts w:hint="eastAsia" w:ascii="黑体" w:hAnsi="宋体" w:eastAsia="黑体" w:cs="黑体"/>
          <w:i w:val="0"/>
          <w:caps w:val="0"/>
          <w:color w:val="222222"/>
          <w:spacing w:val="0"/>
          <w:sz w:val="32"/>
          <w:szCs w:val="32"/>
          <w:lang w:eastAsia="zh-CN"/>
        </w:rPr>
        <w:t>、内设机构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320" w:right="0" w:hanging="1320"/>
        <w:jc w:val="left"/>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第二部分   三亚市自然资源和规划局（部门）</w:t>
      </w:r>
      <w:r>
        <w:rPr>
          <w:rFonts w:hint="eastAsia" w:ascii="仿宋" w:hAnsi="仿宋" w:eastAsia="仿宋" w:cs="仿宋"/>
          <w:i w:val="0"/>
          <w:caps w:val="0"/>
          <w:color w:val="222222"/>
          <w:spacing w:val="0"/>
          <w:sz w:val="32"/>
          <w:szCs w:val="32"/>
        </w:rPr>
        <w:t>2020</w:t>
      </w:r>
      <w:r>
        <w:rPr>
          <w:rFonts w:hint="eastAsia" w:ascii="黑体" w:hAnsi="宋体" w:eastAsia="黑体" w:cs="黑体"/>
          <w:i w:val="0"/>
          <w:caps w:val="0"/>
          <w:color w:val="222222"/>
          <w:spacing w:val="0"/>
          <w:sz w:val="32"/>
          <w:szCs w:val="32"/>
        </w:rPr>
        <w:t>年部门预算表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720" w:right="0" w:hanging="72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一、</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财政拨款收支总表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720" w:right="0" w:hanging="72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二、</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一般公共预算支出表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720" w:right="0" w:hanging="72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三、</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一般公共预算基本支出表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720" w:right="0" w:hanging="72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四、</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“三公”经费支出表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720" w:right="0" w:hanging="72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五、</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政府性基金预算支出表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720" w:right="0" w:hanging="72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六、</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部门收支总表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720" w:right="0" w:hanging="72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七、</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部门收入总表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720" w:right="0" w:hanging="72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八、</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部门支出总表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720" w:right="0" w:hanging="72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九、</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项目支出绩效信息表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720" w:right="0" w:hanging="72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十、</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市（县）级财力安排的专项转移支付预算表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320" w:right="0" w:hanging="1320"/>
        <w:jc w:val="left"/>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第三部分  三亚市自然资源和规划局（部门）</w:t>
      </w:r>
      <w:r>
        <w:rPr>
          <w:rFonts w:hint="eastAsia" w:ascii="仿宋" w:hAnsi="仿宋" w:eastAsia="仿宋" w:cs="仿宋"/>
          <w:i w:val="0"/>
          <w:caps w:val="0"/>
          <w:color w:val="222222"/>
          <w:spacing w:val="0"/>
          <w:sz w:val="32"/>
          <w:szCs w:val="32"/>
        </w:rPr>
        <w:t>2020</w:t>
      </w:r>
      <w:r>
        <w:rPr>
          <w:rFonts w:hint="eastAsia" w:ascii="黑体" w:hAnsi="宋体" w:eastAsia="黑体" w:cs="黑体"/>
          <w:i w:val="0"/>
          <w:caps w:val="0"/>
          <w:color w:val="222222"/>
          <w:spacing w:val="0"/>
          <w:sz w:val="32"/>
          <w:szCs w:val="32"/>
        </w:rPr>
        <w:t>年部门预算情况说明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320" w:right="0" w:hanging="1320"/>
        <w:jc w:val="left"/>
        <w:rPr>
          <w:rFonts w:hint="eastAsia" w:ascii="黑体" w:hAnsi="宋体" w:eastAsia="黑体" w:cs="黑体"/>
          <w:i w:val="0"/>
          <w:caps w:val="0"/>
          <w:color w:val="222222"/>
          <w:spacing w:val="0"/>
          <w:sz w:val="32"/>
          <w:szCs w:val="32"/>
        </w:rPr>
      </w:pPr>
      <w:r>
        <w:rPr>
          <w:rFonts w:hint="eastAsia" w:ascii="黑体" w:hAnsi="宋体" w:eastAsia="黑体" w:cs="黑体"/>
          <w:i w:val="0"/>
          <w:caps w:val="0"/>
          <w:color w:val="222222"/>
          <w:spacing w:val="0"/>
          <w:sz w:val="32"/>
          <w:szCs w:val="32"/>
        </w:rPr>
        <w:t>第四部分   名词解释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320" w:right="0" w:hanging="1320"/>
        <w:jc w:val="left"/>
        <w:rPr>
          <w:rFonts w:hint="eastAsia" w:ascii="黑体" w:hAnsi="宋体" w:eastAsia="黑体" w:cs="黑体"/>
          <w:i w:val="0"/>
          <w:caps w:val="0"/>
          <w:color w:val="222222"/>
          <w:spacing w:val="0"/>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320" w:right="0" w:hanging="1320"/>
        <w:jc w:val="left"/>
        <w:rPr>
          <w:rFonts w:hint="default" w:ascii="黑体" w:hAnsi="宋体" w:eastAsia="黑体" w:cs="黑体"/>
          <w:i w:val="0"/>
          <w:caps w:val="0"/>
          <w:color w:val="222222"/>
          <w:spacing w:val="0"/>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320" w:right="0" w:firstLine="0"/>
        <w:jc w:val="left"/>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320" w:right="0" w:hanging="1320"/>
        <w:jc w:val="center"/>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第一部分  三亚市自然资源和规划局（部门）概况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8" w:lineRule="atLeast"/>
        <w:ind w:left="0" w:right="0" w:firstLine="660"/>
        <w:jc w:val="both"/>
        <w:rPr>
          <w:rFonts w:hint="eastAsia" w:ascii="宋体" w:hAnsi="宋体" w:eastAsia="宋体" w:cs="宋体"/>
          <w:i w:val="0"/>
          <w:caps w:val="0"/>
          <w:color w:val="222222"/>
          <w:spacing w:val="0"/>
          <w:sz w:val="28"/>
          <w:szCs w:val="28"/>
        </w:rPr>
      </w:pPr>
      <w:r>
        <w:rPr>
          <w:rFonts w:hint="eastAsia" w:ascii="黑体" w:hAnsi="宋体" w:eastAsia="黑体" w:cs="黑体"/>
          <w:i w:val="0"/>
          <w:caps w:val="0"/>
          <w:color w:val="222222"/>
          <w:spacing w:val="0"/>
          <w:sz w:val="32"/>
          <w:szCs w:val="32"/>
        </w:rPr>
        <w:t>一、主要职能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8" w:lineRule="atLeast"/>
        <w:ind w:left="0" w:right="0" w:firstLine="928"/>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（一）贯彻落实党和国家、省有关全市自然资源、空间规划和海洋工作的方针政策、法律法规，执行市委、市政府决策部署和中国（海南）自由贸易试验区、中国特色自由贸易港政策措施, 研究提出中国（海南）自由贸易试验区、中国特色自由贸易港有关自然资源、空间规划和海洋工作方面的意见和建议。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8" w:lineRule="atLeast"/>
        <w:ind w:left="0" w:right="0" w:firstLine="928"/>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二）履行全市全民所有土地、矿产、森林、草原、湿地、水、海洋等自然资源资产所有者职责和所有国土空间用途管制职责。拟订全市自然资源和国土空间规划等规章、规范性文件和政策草案。研究推进自然资源和国土空间规划改革工作。研究中国（海南）自由贸易试验区、中国特色自由贸易港自然资源、空间规划和海洋工作方面的意见和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9" w:lineRule="atLeast"/>
        <w:ind w:left="0" w:right="0" w:firstLine="928"/>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三）负责全市自然资源调查监测评价。建立统一规范的自然资源调查监测评价制度，组织实施全市自然资源基础调查、专项调查和监测。负责自然资源调查监测评价成果的监督管理和信息发布。依职权负责本市管辖海域勘界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9" w:lineRule="atLeast"/>
        <w:ind w:left="0" w:right="0" w:firstLine="820"/>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四）负责全市自然资源统一确权登记工作。贯彻执行、制定和完善各类自然资源和不动产统一确权登记、权籍调查、不动产测绘、争议调处、成果应用的制度、标准、规范。建立健全全市自然资源和不动产登记信息管理基础平台。负责自然资源和不动产登记资料收集、整理、共享、汇交管理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2" w:lineRule="atLeast"/>
        <w:ind w:left="0" w:right="0" w:firstLine="928"/>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五）负责全市自然资源资产有偿使用工作。负责全市全民所有自然资源资产统计、核算工作。组织编制全市全民所有自然资源资产负债表。负责全民所有自然资源资产划拨、出让、置换和流转工作，合理配置全民所有自然资源资产。负责全市自然资源资产价值评估管理，依法收缴相关资产收益。配合做好深化农垦改革工作。有序推行土地资产化和资本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2" w:lineRule="atLeast"/>
        <w:ind w:left="140" w:right="0" w:firstLine="680"/>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六）负责全市自然资源的合理开发利用。拟订全市自然资源发展规划和战略，贯彻执行国家、省自然资源开发利用标准。建立政府公示自然资源价格体系，组织开展自然资源分等定级价格评估和自然资源利用评价考核。实行最严格的节约用地制度，实施建设用地总量和强度双控行动。组织指导全市统筹推进农村土地制度改革。实施海洋综合管理，协调各涉海部门、行业的海洋开发活动。负责全市自然资源市场监管。组织研究制定全市自然资源管理涉及宏观调控、区域协调和城乡统筹的政策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4" w:lineRule="atLeast"/>
        <w:ind w:left="0" w:right="0" w:firstLine="860"/>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七）贯彻实施省建立的全省空间规划体系，建立市空间规划体系并组织实施。统筹全市空间战略布局，编制、修编本市国土空间规划和相关专项规划并组织实施，构建全市高效统一的规划管理体系。开展全市国土空间开发适宜性评价，组织开展国土空间规划实施情况评估、评价。组织划定市级生态保护红线、永久基本农田红线和开发边界。配合划定海洋生物资源保护线、围填海控制线等控制线，构建节约资源和保护环境的生产、生活、生态空间布局。组织落实全市国土空间用途管制制度。组织拟订并实施土地、海洋等自然资源年度利用计划。负责土地（含林地）、 海域、海岛等国土空间用途转用工作。负责制订和更新土地征用补偿标准及实施过程中的政策指导。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4" w:lineRule="atLeast"/>
        <w:ind w:left="0" w:right="0" w:firstLine="860"/>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八）负责统筹全市国土空间生态修复。拟订国土空间生态修复规划，组织制定生态修复实施计划，组织实施有关生态修复重大工程。负责国土空间综合整治、土地整理复垦、矿山地质环境恢复治理、海洋生态、海域海岸线和海岛修复等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4" w:lineRule="atLeast"/>
        <w:ind w:left="0" w:right="0" w:firstLine="860"/>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九）负责组织实施最严格的耕地保护制度。贯彻执行国家、省耕地保护政策，确保全市耕地保有量和基本农田面积不减少、质量有提高的目标。组织实施耕地保护责任目标考核和监督永久基本农田特殊保护。组织落实耕地占补平衡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800"/>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（十）负责地质工作和矿产资源管理。配合开展基础地质调查和矿产资源勘查工作。监督指导矿产资源合理利用和保护。承担矿产资源储量管理工作，管理地质勘查成果和地质资料汇交。组织保护地质遗迹。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800"/>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（十一）负责组织实施全市海洋战略规划。配合国家、省实施海洋强国重大战略，海洋强省重大战略。拟订三亚市海洋发展、深海等海洋强市建设重大战略并监督实施。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800"/>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（十二）负责全市海洋开发利用和保护的监督管理工作。负</w:t>
      </w:r>
      <w:r>
        <w:rPr>
          <w:rFonts w:hint="eastAsia" w:ascii="仿宋" w:hAnsi="仿宋" w:eastAsia="仿宋" w:cs="仿宋"/>
          <w:i w:val="0"/>
          <w:caps w:val="0"/>
          <w:color w:val="685D86"/>
          <w:spacing w:val="0"/>
          <w:sz w:val="32"/>
          <w:szCs w:val="32"/>
        </w:rPr>
        <w:t>责</w:t>
      </w:r>
      <w:r>
        <w:rPr>
          <w:rFonts w:hint="eastAsia" w:ascii="仿宋" w:hAnsi="仿宋" w:eastAsia="仿宋" w:cs="仿宋"/>
          <w:i w:val="0"/>
          <w:caps w:val="0"/>
          <w:color w:val="000000"/>
          <w:spacing w:val="0"/>
          <w:sz w:val="32"/>
          <w:szCs w:val="32"/>
        </w:rPr>
        <w:t>全市海域使用和海岛保护利用管理。配合省组织实施海域海岛保护利用规划。负责全市无居民海岛、海域、海底地形地名管理工作。按照国家、省统一部署，落实领海基点等特殊用途海岛保护政策。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2" w:lineRule="atLeast"/>
        <w:ind w:left="0" w:right="0" w:firstLine="800"/>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十三）配合省开展自然资源国际合作及推动自然资源领域科技发展。配合开展自然资源领域对外交流合作。配合开展维护国家海洋权益工作。贯彻实施省自然资源领域科技创新发展和人才培养战略、规划和计划。配合实施省重大科技工程及创新能力建设，推进自然资源信息化和信息资料的公共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2" w:lineRule="atLeast"/>
        <w:ind w:left="0" w:right="0" w:firstLine="800"/>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十四）督促检查国土空间规划的执行情况。拟订自然资源和规划督察管理、协作和问责制度，拟订国土空间规划管控措施并监督实施。调查违反自然资源开发利用和国土空间规划的行为，依法提出纠正、处理意见，及时向市政府报告自然资源和规划管控重大风险和问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9" w:lineRule="atLeast"/>
        <w:ind w:left="0" w:right="0" w:firstLine="820"/>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（十五）负责依法组织编制和实施城乡规划管理，负责有关规划的审查、审批和组织报批，核发有关书、证，负责行政审批和批后验收管理。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9" w:lineRule="atLeast"/>
        <w:ind w:left="0" w:leftChars="0" w:right="0" w:rightChars="0" w:firstLine="820" w:firstLineChars="0"/>
        <w:jc w:val="both"/>
        <w:textAlignment w:val="auto"/>
        <w:outlineLvl w:val="9"/>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十六）负责测绘地理信息管理工作。负责基础测绘和测绘行业管理。负责测绘资质资格与信用管理，监督管理地理信息获取和应用，组织协调地理信息安全监管。负责地理信息公共服务和地图管理。组织开展地方测量标志的设立和保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9" w:lineRule="atLeast"/>
        <w:ind w:left="0" w:right="0" w:firstLine="720"/>
        <w:jc w:val="both"/>
        <w:rPr>
          <w:rFonts w:hint="eastAsia" w:ascii="宋体" w:hAnsi="宋体" w:eastAsia="宋体" w:cs="宋体"/>
          <w:i w:val="0"/>
          <w:caps w:val="0"/>
          <w:color w:val="222222"/>
          <w:spacing w:val="0"/>
          <w:sz w:val="28"/>
          <w:szCs w:val="28"/>
        </w:rPr>
      </w:pPr>
      <w:r>
        <w:rPr>
          <w:rFonts w:hint="eastAsia" w:ascii="仿宋" w:hAnsi="仿宋" w:eastAsia="仿宋" w:cs="仿宋"/>
          <w:i w:val="0"/>
          <w:caps w:val="0"/>
          <w:color w:val="000000"/>
          <w:spacing w:val="0"/>
          <w:sz w:val="32"/>
          <w:szCs w:val="32"/>
        </w:rPr>
        <w:t>（十七）完成市委、市政府交办的其他任务。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both"/>
        <w:rPr>
          <w:rFonts w:hint="default" w:ascii="Calibri" w:hAnsi="Calibri" w:cs="Calibri"/>
          <w:i w:val="0"/>
          <w:caps w:val="0"/>
          <w:color w:val="222222"/>
          <w:spacing w:val="0"/>
          <w:sz w:val="21"/>
          <w:szCs w:val="21"/>
        </w:rPr>
      </w:pPr>
      <w:r>
        <w:rPr>
          <w:rFonts w:hint="default" w:ascii="Calibri" w:hAnsi="Calibri" w:cs="Calibri"/>
          <w:i w:val="0"/>
          <w:caps w:val="0"/>
          <w:color w:val="222222"/>
          <w:spacing w:val="0"/>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二、部门预算单位构成</w:t>
      </w:r>
      <w:r>
        <w:rPr>
          <w:rFonts w:hint="eastAsia" w:ascii="黑体" w:hAnsi="宋体" w:eastAsia="黑体" w:cs="黑体"/>
          <w:i w:val="0"/>
          <w:caps w:val="0"/>
          <w:color w:val="222222"/>
          <w:spacing w:val="0"/>
          <w:sz w:val="32"/>
          <w:szCs w:val="32"/>
          <w:lang w:eastAsia="zh-CN"/>
        </w:rPr>
        <w:t>、内设机构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80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纳入三亚市自然资源和规划局（部门）2020年部门预算编制范围的二级预算单位包括：</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160" w:right="0" w:hanging="36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1.</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三亚市国土资源监察支队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160" w:right="0" w:hanging="36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2.</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三亚市土地整理中心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160" w:right="0" w:hanging="36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3.</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三亚市国土资源和测绘地理信息中心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160" w:right="0" w:hanging="36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4.</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三亚市不动产登记中心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160" w:right="0" w:hanging="360"/>
        <w:jc w:val="left"/>
        <w:rPr>
          <w:rFonts w:hint="eastAsia" w:ascii="仿宋" w:hAnsi="仿宋" w:eastAsia="仿宋" w:cs="仿宋"/>
          <w:i w:val="0"/>
          <w:caps w:val="0"/>
          <w:color w:val="222222"/>
          <w:spacing w:val="0"/>
          <w:sz w:val="32"/>
          <w:szCs w:val="32"/>
        </w:rPr>
      </w:pPr>
      <w:r>
        <w:rPr>
          <w:rFonts w:hint="eastAsia" w:ascii="仿宋" w:hAnsi="仿宋" w:eastAsia="仿宋" w:cs="仿宋"/>
          <w:i w:val="0"/>
          <w:caps w:val="0"/>
          <w:color w:val="222222"/>
          <w:spacing w:val="0"/>
          <w:sz w:val="32"/>
          <w:szCs w:val="32"/>
        </w:rPr>
        <w:t>5.</w:t>
      </w:r>
      <w:r>
        <w:rPr>
          <w:rFonts w:hint="default" w:ascii="Times New Roman" w:hAnsi="Times New Roman" w:eastAsia="仿宋" w:cs="Times New Roman"/>
          <w:i w:val="0"/>
          <w:caps w:val="0"/>
          <w:color w:val="222222"/>
          <w:spacing w:val="0"/>
          <w:sz w:val="14"/>
          <w:szCs w:val="14"/>
        </w:rPr>
        <w:t> </w:t>
      </w:r>
      <w:r>
        <w:rPr>
          <w:rFonts w:hint="eastAsia" w:ascii="仿宋" w:hAnsi="仿宋" w:eastAsia="仿宋" w:cs="仿宋"/>
          <w:i w:val="0"/>
          <w:caps w:val="0"/>
          <w:color w:val="222222"/>
          <w:spacing w:val="0"/>
          <w:sz w:val="32"/>
          <w:szCs w:val="32"/>
        </w:rPr>
        <w:t>三亚市规划研究和信息中心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9" w:lineRule="exact"/>
        <w:ind w:left="0" w:leftChars="0" w:right="0" w:rightChars="0" w:firstLine="114" w:firstLineChars="0"/>
        <w:jc w:val="both"/>
        <w:textAlignment w:val="auto"/>
        <w:outlineLvl w:val="9"/>
        <w:rPr>
          <w:rFonts w:hint="eastAsia" w:ascii="仿宋" w:hAnsi="仿宋" w:eastAsia="仿宋" w:cs="仿宋"/>
          <w:i w:val="0"/>
          <w:caps w:val="0"/>
          <w:color w:val="222222"/>
          <w:spacing w:val="0"/>
          <w:sz w:val="32"/>
          <w:szCs w:val="32"/>
        </w:rPr>
      </w:pPr>
      <w:r>
        <w:rPr>
          <w:rFonts w:hint="eastAsia" w:ascii="仿宋" w:hAnsi="仿宋" w:eastAsia="仿宋" w:cs="仿宋"/>
          <w:i w:val="0"/>
          <w:caps w:val="0"/>
          <w:color w:val="222222"/>
          <w:spacing w:val="0"/>
          <w:sz w:val="32"/>
          <w:szCs w:val="32"/>
          <w:lang w:val="en-US" w:eastAsia="zh-CN"/>
        </w:rPr>
        <w:t xml:space="preserve">    </w:t>
      </w:r>
      <w:r>
        <w:rPr>
          <w:rFonts w:hint="eastAsia" w:ascii="仿宋" w:hAnsi="仿宋" w:eastAsia="仿宋" w:cs="仿宋"/>
          <w:i w:val="0"/>
          <w:caps w:val="0"/>
          <w:color w:val="222222"/>
          <w:spacing w:val="0"/>
          <w:sz w:val="32"/>
          <w:szCs w:val="32"/>
        </w:rPr>
        <w:t>三亚市自然资源和规划局</w:t>
      </w:r>
      <w:r>
        <w:rPr>
          <w:rFonts w:hint="eastAsia" w:ascii="仿宋" w:hAnsi="仿宋" w:eastAsia="仿宋" w:cs="仿宋"/>
          <w:i w:val="0"/>
          <w:caps w:val="0"/>
          <w:color w:val="222222"/>
          <w:spacing w:val="0"/>
          <w:sz w:val="32"/>
          <w:szCs w:val="32"/>
          <w:lang w:eastAsia="zh-CN"/>
        </w:rPr>
        <w:t>行政编制</w:t>
      </w:r>
      <w:r>
        <w:rPr>
          <w:rFonts w:hint="eastAsia" w:ascii="仿宋" w:hAnsi="仿宋" w:eastAsia="仿宋" w:cs="仿宋"/>
          <w:i w:val="0"/>
          <w:caps w:val="0"/>
          <w:color w:val="222222"/>
          <w:spacing w:val="0"/>
          <w:sz w:val="32"/>
          <w:szCs w:val="32"/>
          <w:lang w:val="en-US" w:eastAsia="zh-CN"/>
        </w:rPr>
        <w:t>63名、设局长1名，副局长3名。科级领导职数27名，其中正科24名（含总工程师1名、总规划师1名、机关党委专职副书记1名，副科级3名。</w:t>
      </w:r>
      <w:r>
        <w:rPr>
          <w:rFonts w:hint="eastAsia" w:ascii="仿宋" w:hAnsi="仿宋" w:eastAsia="仿宋" w:cs="仿宋"/>
          <w:i w:val="0"/>
          <w:caps w:val="0"/>
          <w:color w:val="222222"/>
          <w:spacing w:val="0"/>
          <w:sz w:val="32"/>
          <w:szCs w:val="32"/>
          <w:lang w:eastAsia="zh-CN"/>
        </w:rPr>
        <w:t>下设</w:t>
      </w:r>
      <w:r>
        <w:rPr>
          <w:rFonts w:hint="eastAsia" w:ascii="仿宋" w:hAnsi="仿宋" w:eastAsia="仿宋" w:cs="仿宋"/>
          <w:i w:val="0"/>
          <w:caps w:val="0"/>
          <w:color w:val="222222"/>
          <w:spacing w:val="0"/>
          <w:sz w:val="32"/>
          <w:szCs w:val="32"/>
          <w:lang w:val="en-US" w:eastAsia="zh-CN"/>
        </w:rPr>
        <w:t>21个</w:t>
      </w:r>
      <w:r>
        <w:rPr>
          <w:rFonts w:hint="eastAsia" w:ascii="仿宋" w:hAnsi="仿宋" w:eastAsia="仿宋" w:cs="仿宋"/>
          <w:i w:val="0"/>
          <w:caps w:val="0"/>
          <w:color w:val="222222"/>
          <w:spacing w:val="0"/>
          <w:sz w:val="32"/>
          <w:szCs w:val="32"/>
          <w:lang w:eastAsia="zh-CN"/>
        </w:rPr>
        <w:t>内设机构：办公室、人事综合科、财务管理科、政策法规科、行政审批办公室、自然资源确权登记局、权益和开发科、用途管制科、调查和耕地保护科、矿产资源科、测绘地理信息科、国土空间规划编制科、城市设计科、用地规划科、乡村规划科、建设工程科、市政交通科、监督管理科、市国土空间规划委员会业务办公室、海洋发展科、海域海岛科</w:t>
      </w:r>
      <w:r>
        <w:rPr>
          <w:rFonts w:hint="eastAsia" w:ascii="仿宋" w:hAnsi="仿宋" w:eastAsia="仿宋" w:cs="仿宋"/>
          <w:i w:val="0"/>
          <w:caps w:val="0"/>
          <w:color w:val="222222"/>
          <w:spacing w:val="0"/>
          <w:sz w:val="32"/>
          <w:szCs w:val="32"/>
          <w:lang w:val="en-US" w:eastAsia="zh-CN"/>
        </w:rPr>
        <w:t>。</w:t>
      </w:r>
      <w:bookmarkStart w:id="0" w:name="_GoBack"/>
      <w:bookmarkEnd w:id="0"/>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20" w:lineRule="atLeast"/>
        <w:ind w:left="0" w:leftChars="0" w:right="0" w:rightChars="0" w:firstLine="114" w:firstLineChars="0"/>
        <w:jc w:val="both"/>
        <w:textAlignment w:val="auto"/>
        <w:outlineLvl w:val="9"/>
        <w:rPr>
          <w:rFonts w:hint="default" w:ascii="仿宋" w:hAnsi="仿宋" w:eastAsia="仿宋" w:cs="仿宋"/>
          <w:i w:val="0"/>
          <w:caps w:val="0"/>
          <w:color w:val="222222"/>
          <w:spacing w:val="0"/>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800" w:right="0" w:firstLine="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800" w:right="0" w:firstLine="0"/>
        <w:jc w:val="center"/>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第二部分 </w:t>
      </w:r>
      <w:r>
        <w:rPr>
          <w:rFonts w:hint="eastAsia" w:ascii="仿宋" w:hAnsi="仿宋" w:eastAsia="仿宋" w:cs="仿宋"/>
          <w:i w:val="0"/>
          <w:caps w:val="0"/>
          <w:color w:val="222222"/>
          <w:spacing w:val="0"/>
          <w:sz w:val="32"/>
          <w:szCs w:val="32"/>
        </w:rPr>
        <w:t> </w:t>
      </w:r>
      <w:r>
        <w:rPr>
          <w:rFonts w:hint="eastAsia" w:ascii="黑体" w:hAnsi="宋体" w:eastAsia="黑体" w:cs="黑体"/>
          <w:i w:val="0"/>
          <w:caps w:val="0"/>
          <w:color w:val="222222"/>
          <w:spacing w:val="0"/>
          <w:sz w:val="32"/>
          <w:szCs w:val="32"/>
        </w:rPr>
        <w:t>三亚市自然资源和规划局（部门）</w:t>
      </w:r>
      <w:r>
        <w:rPr>
          <w:rFonts w:hint="eastAsia" w:ascii="仿宋" w:hAnsi="仿宋" w:eastAsia="仿宋" w:cs="仿宋"/>
          <w:i w:val="0"/>
          <w:caps w:val="0"/>
          <w:color w:val="222222"/>
          <w:spacing w:val="0"/>
          <w:sz w:val="32"/>
          <w:szCs w:val="32"/>
        </w:rPr>
        <w:t>2020</w:t>
      </w:r>
      <w:r>
        <w:rPr>
          <w:rFonts w:hint="eastAsia" w:ascii="黑体" w:hAnsi="宋体" w:eastAsia="黑体" w:cs="黑体"/>
          <w:i w:val="0"/>
          <w:caps w:val="0"/>
          <w:color w:val="222222"/>
          <w:spacing w:val="0"/>
          <w:sz w:val="32"/>
          <w:szCs w:val="32"/>
        </w:rPr>
        <w:t>年部门预算表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800" w:right="0" w:firstLine="0"/>
        <w:jc w:val="left"/>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800" w:right="0" w:firstLine="0"/>
        <w:jc w:val="center"/>
        <w:rPr>
          <w:rFonts w:hint="default" w:ascii="Calibri" w:hAnsi="Calibri" w:cs="Calibri"/>
          <w:i w:val="0"/>
          <w:caps w:val="0"/>
          <w:color w:val="222222"/>
          <w:spacing w:val="0"/>
          <w:sz w:val="21"/>
          <w:szCs w:val="21"/>
        </w:rPr>
      </w:pPr>
      <w:r>
        <w:rPr>
          <w:rFonts w:hint="eastAsia" w:ascii="仿宋" w:hAnsi="仿宋" w:eastAsia="仿宋" w:cs="仿宋"/>
          <w:b/>
          <w:i w:val="0"/>
          <w:caps w:val="0"/>
          <w:color w:val="222222"/>
          <w:spacing w:val="0"/>
          <w:sz w:val="32"/>
          <w:szCs w:val="32"/>
        </w:rPr>
        <w:t>（此部分内容即为部门预算公开表）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both"/>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第三部分   三亚市自然资源和规划局（部门）2020年部门预算情况说明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一、关于三亚市自然资源和规划局（部门）2020年财政拨款收支预算情况的总体说明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三亚市自然资源和规划局（部门）2020年财政拨款收支总预算9785.72万元。其中，收入总计9785.72万元，包括一般公共预算本年收入5729.72万元、上年结转0万元，政府性基金预算本年收入4056万元、上年结转0万元；支出总计9785.72万元，包括社会保障和就业支出231.3万元、卫生健康支出354.33万元、城乡社区支出4056万元、自然资源海洋气象等支出4952.72万元、住房保障支出191.37万元，结转下年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二、关于三亚市自然资源和规划局（部门）2020年一般公共预算当年拨款情况说明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ascii="楷体" w:hAnsi="楷体" w:eastAsia="楷体" w:cs="楷体"/>
          <w:i w:val="0"/>
          <w:caps w:val="0"/>
          <w:color w:val="222222"/>
          <w:spacing w:val="0"/>
          <w:sz w:val="32"/>
          <w:szCs w:val="32"/>
        </w:rPr>
        <w:t>（一）一般公共预算当年规模变化情况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三亚市自然资源和规划局（部门）2020年一般公共预算当年拨款5729.72万元，比上年预算数增加3432.67万元，主要是</w:t>
      </w:r>
      <w:r>
        <w:rPr>
          <w:rFonts w:hint="eastAsia" w:ascii="仿宋" w:hAnsi="仿宋" w:eastAsia="仿宋" w:cs="仿宋"/>
          <w:i w:val="0"/>
          <w:caps w:val="0"/>
          <w:color w:val="222222"/>
          <w:spacing w:val="0"/>
          <w:sz w:val="32"/>
          <w:szCs w:val="32"/>
          <w:shd w:val="clear" w:fill="FFFFFF"/>
        </w:rPr>
        <w:t>因机构改革，三亚市国土资源局和三亚市规划委员会、三亚市海洋与渔业局二家单位合并所致。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楷体" w:hAnsi="楷体" w:eastAsia="楷体" w:cs="楷体"/>
          <w:i w:val="0"/>
          <w:caps w:val="0"/>
          <w:color w:val="222222"/>
          <w:spacing w:val="0"/>
          <w:sz w:val="32"/>
          <w:szCs w:val="32"/>
        </w:rPr>
        <w:t>（二）一般公共预算当年拨款结构情况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80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社会保障和就业支出231.3万元，占4.04%、卫生健康支出354.33万元，占6.18%、自然资源海洋气象等支出4952.72万元，占86.44%、住房保障支出191.37万元，占3.34%。</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楷体" w:hAnsi="楷体" w:eastAsia="楷体" w:cs="楷体"/>
          <w:i w:val="0"/>
          <w:caps w:val="0"/>
          <w:color w:val="222222"/>
          <w:spacing w:val="0"/>
          <w:sz w:val="32"/>
          <w:szCs w:val="32"/>
        </w:rPr>
        <w:t>（三）一般公共预算当年拨款具体使用情况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1.社会保障和就业支出（类）行政事业单位养老支出（款）机关事业单位基本养老保险缴费支出（项）2020年预算数为226.16万元，比上年预算数减少16.44万元，主要是因2019年机关事业单位基本养老保险缴费预算数手动填加不准确导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2. 社会保障和就业支出（类）抚恤（款）其他优抚支出（项）2020年预算数为5.14万元，比上年预算数增加5.14万元，主要是因2019年未单独列此项支出。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3.卫生健康支出（类）行政事业单位医疗（款）行政单位医疗（项）2020年预算数为89.72万元，比上年预算数增加59.42万元，主要是</w:t>
      </w:r>
      <w:r>
        <w:rPr>
          <w:rFonts w:hint="eastAsia" w:ascii="仿宋" w:hAnsi="仿宋" w:eastAsia="仿宋" w:cs="仿宋"/>
          <w:i w:val="0"/>
          <w:caps w:val="0"/>
          <w:color w:val="222222"/>
          <w:spacing w:val="0"/>
          <w:sz w:val="32"/>
          <w:szCs w:val="32"/>
          <w:shd w:val="clear" w:fill="FFFFFF"/>
        </w:rPr>
        <w:t>因机构改革，三亚市国土资源局和三亚市规划委员会、三亚市海洋与渔业局二家单位合并所致。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3.卫生健康支出（类）行政事业单位医疗（款）事业单位医疗（项）2020年预算数为30.43万元，比上年预算数增加20.24万元，主要是</w:t>
      </w:r>
      <w:r>
        <w:rPr>
          <w:rFonts w:hint="eastAsia" w:ascii="仿宋" w:hAnsi="仿宋" w:eastAsia="仿宋" w:cs="仿宋"/>
          <w:i w:val="0"/>
          <w:caps w:val="0"/>
          <w:color w:val="222222"/>
          <w:spacing w:val="0"/>
          <w:sz w:val="32"/>
          <w:szCs w:val="32"/>
          <w:shd w:val="clear" w:fill="FFFFFF"/>
        </w:rPr>
        <w:t>因机构改革，三亚市国土资源局和三亚市规划委员会、三亚市海洋与渔业局二家单位合并所致。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4.卫生健康支出（类）行政事业单位医疗（款）公务员医疗补助（项）2020年预算数为234.19万元，比上年预算数增加53.19万元，主要是</w:t>
      </w:r>
      <w:r>
        <w:rPr>
          <w:rFonts w:hint="eastAsia" w:ascii="仿宋" w:hAnsi="仿宋" w:eastAsia="仿宋" w:cs="仿宋"/>
          <w:i w:val="0"/>
          <w:caps w:val="0"/>
          <w:color w:val="222222"/>
          <w:spacing w:val="0"/>
          <w:sz w:val="32"/>
          <w:szCs w:val="32"/>
          <w:shd w:val="clear" w:fill="FFFFFF"/>
        </w:rPr>
        <w:t>因机构改革，三亚市国土资源局和三亚市规划委员会、三亚市海洋与渔业局二家单位合并所致。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5.自然资源海洋气象等支出（类）自然资源事务（款）行政运行（项）2020年预算数为1915.74万元，比上年预算数增加1028.11万元，主要是</w:t>
      </w:r>
      <w:r>
        <w:rPr>
          <w:rFonts w:hint="eastAsia" w:ascii="仿宋" w:hAnsi="仿宋" w:eastAsia="仿宋" w:cs="仿宋"/>
          <w:i w:val="0"/>
          <w:caps w:val="0"/>
          <w:color w:val="222222"/>
          <w:spacing w:val="0"/>
          <w:sz w:val="32"/>
          <w:szCs w:val="32"/>
          <w:shd w:val="clear" w:fill="FFFFFF"/>
        </w:rPr>
        <w:t>因机构改革，三亚市国土资源局和三亚市规划委员会、三亚市海洋与渔业局二家单位合并所致。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6.自然资源海洋气象等支出（类）自然资源事务（款）一般行政管理事务（项）2020年预算数为300万元，比上年预算数增加138.99万元，主要是</w:t>
      </w:r>
      <w:r>
        <w:rPr>
          <w:rFonts w:hint="eastAsia" w:ascii="仿宋" w:hAnsi="仿宋" w:eastAsia="仿宋" w:cs="仿宋"/>
          <w:i w:val="0"/>
          <w:caps w:val="0"/>
          <w:color w:val="222222"/>
          <w:spacing w:val="0"/>
          <w:sz w:val="32"/>
          <w:szCs w:val="32"/>
          <w:shd w:val="clear" w:fill="FFFFFF"/>
        </w:rPr>
        <w:t>因机构改革，三亚市国土资源局和三亚市规划委员会、三亚市海洋与渔业局二家单位合并所致。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7.自然资源海洋气象等支出（类）自然资源事务（款）自然资源规划及管理（项）2020年预算数为650万元，比上年预算数增加650万元，主要是</w:t>
      </w:r>
      <w:r>
        <w:rPr>
          <w:rFonts w:hint="eastAsia" w:ascii="仿宋" w:hAnsi="仿宋" w:eastAsia="仿宋" w:cs="仿宋"/>
          <w:i w:val="0"/>
          <w:caps w:val="0"/>
          <w:color w:val="222222"/>
          <w:spacing w:val="0"/>
          <w:sz w:val="32"/>
          <w:szCs w:val="32"/>
          <w:shd w:val="clear" w:fill="FFFFFF"/>
        </w:rPr>
        <w:t>因机构改革，三亚市国土资源局和三亚市规划委员会、三亚市海洋与渔业局二家单位合并所致。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8.自然资源海洋气象等支出（类）自然资源事务（款）自然资源利用与保护（项）2020年预算数为50万元，比上年预算数增加50万元，主要是</w:t>
      </w:r>
      <w:r>
        <w:rPr>
          <w:rFonts w:hint="eastAsia" w:ascii="仿宋" w:hAnsi="仿宋" w:eastAsia="仿宋" w:cs="仿宋"/>
          <w:i w:val="0"/>
          <w:caps w:val="0"/>
          <w:color w:val="222222"/>
          <w:spacing w:val="0"/>
          <w:sz w:val="32"/>
          <w:szCs w:val="32"/>
          <w:shd w:val="clear" w:fill="FFFFFF"/>
        </w:rPr>
        <w:t>因机构改革，三亚市国土资源局和三亚市规划委员会、三亚市海洋与渔业局两家单位合并所致。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9.自然资源海洋气象等支出（类）自然资源事务（款）土地资源储备支出（项）2020年预算数为120万元，比上年预算数增加90万元，主要是下属单位土地整理中心增加了维修整治项目。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10.自然资源海洋气象等支出（类）自然资源事务（款）地质勘查与矿产资源管理（项）2020年预算数为26万元，比上年预算数增加26万元，主要是因2019年未单独列支。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11.自然资源海洋气象等支出（类）自然资源事务（款）事业运行（项）2020年预算数为1134.97万元，比上年预算数增加694.26万元，主要是</w:t>
      </w:r>
      <w:r>
        <w:rPr>
          <w:rFonts w:hint="eastAsia" w:ascii="仿宋" w:hAnsi="仿宋" w:eastAsia="仿宋" w:cs="仿宋"/>
          <w:i w:val="0"/>
          <w:caps w:val="0"/>
          <w:color w:val="222222"/>
          <w:spacing w:val="0"/>
          <w:sz w:val="32"/>
          <w:szCs w:val="32"/>
          <w:shd w:val="clear" w:fill="FFFFFF"/>
        </w:rPr>
        <w:t>因机构改革，三亚市国土资源局和三亚市规划委员会、三亚市海洋与渔业局二家单位合并所致。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12.自然资源海洋气象等支出（类）自然资源事务（款）其他自然资源事务支出（项）2020年预算数为756万元，比上年预算数增加636万元，主要是</w:t>
      </w:r>
      <w:r>
        <w:rPr>
          <w:rFonts w:hint="eastAsia" w:ascii="仿宋" w:hAnsi="仿宋" w:eastAsia="仿宋" w:cs="仿宋"/>
          <w:i w:val="0"/>
          <w:caps w:val="0"/>
          <w:color w:val="222222"/>
          <w:spacing w:val="0"/>
          <w:sz w:val="32"/>
          <w:szCs w:val="32"/>
          <w:shd w:val="clear" w:fill="FFFFFF"/>
        </w:rPr>
        <w:t>因机构改革，三亚市国土资源局和三亚市规划委员会、三亚市海洋与渔业局二家单位合并所致。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13.住房保障支出（类）住房改革支出（款）住房公积金（项）2020年预算数为191.37万元，比上年预算数增加62.76万元，主要是</w:t>
      </w:r>
      <w:r>
        <w:rPr>
          <w:rFonts w:hint="eastAsia" w:ascii="仿宋" w:hAnsi="仿宋" w:eastAsia="仿宋" w:cs="仿宋"/>
          <w:i w:val="0"/>
          <w:caps w:val="0"/>
          <w:color w:val="222222"/>
          <w:spacing w:val="0"/>
          <w:sz w:val="32"/>
          <w:szCs w:val="32"/>
          <w:shd w:val="clear" w:fill="FFFFFF"/>
        </w:rPr>
        <w:t>因机构改革，三亚市国土资源局和三亚市规划委员会、三亚市海洋与渔业局二家单位合并所致。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三、关于三亚市自然资源和规划局（部门）2020年一般公共预算基本支出情况说明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三亚市自然资源和规划局（部门）2020年一般公共预算基本支出为3567.72万元，其中：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人员经费3240.04万元，主要包括：基本工资、津贴补贴、奖金、绩效工资、社会保障缴费、住房公积金；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公用经费316.76万元，主要包括：办公费、邮电费、会议费、培训费、工会经费、福利费、公务用车运行维护费、其他交通费用、其他商品和服务支出。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shd w:val="clear" w:fill="FFFFFF"/>
        </w:rPr>
        <w:t>四、</w:t>
      </w:r>
      <w:r>
        <w:rPr>
          <w:rFonts w:hint="eastAsia" w:ascii="黑体" w:hAnsi="宋体" w:eastAsia="黑体" w:cs="黑体"/>
          <w:i w:val="0"/>
          <w:caps w:val="0"/>
          <w:color w:val="222222"/>
          <w:spacing w:val="0"/>
          <w:sz w:val="32"/>
          <w:szCs w:val="32"/>
        </w:rPr>
        <w:t>三亚市自然资源和规划局</w:t>
      </w:r>
      <w:r>
        <w:rPr>
          <w:rFonts w:hint="eastAsia" w:ascii="黑体" w:hAnsi="宋体" w:eastAsia="黑体" w:cs="黑体"/>
          <w:i w:val="0"/>
          <w:caps w:val="0"/>
          <w:color w:val="222222"/>
          <w:spacing w:val="0"/>
          <w:sz w:val="32"/>
          <w:szCs w:val="32"/>
          <w:shd w:val="clear" w:fill="FFFFFF"/>
        </w:rPr>
        <w:t>（部门）2020年“三公”经费预算情况说明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（一）三亚市自然资源和规划局（部门）2020年一般公共预算“三公”经费预算数为31.76万元，其中：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shd w:val="clear" w:fill="FFFFFF"/>
        </w:rPr>
        <w:t>因公出国（境）经费</w:t>
      </w:r>
      <w:r>
        <w:rPr>
          <w:rFonts w:hint="default" w:ascii="Times New Roman" w:hAnsi="Times New Roman" w:cs="Times New Roman"/>
          <w:i w:val="0"/>
          <w:caps w:val="0"/>
          <w:color w:val="222222"/>
          <w:spacing w:val="0"/>
          <w:sz w:val="32"/>
          <w:szCs w:val="32"/>
          <w:shd w:val="clear" w:fill="FFFFFF"/>
        </w:rPr>
        <w:t>0</w:t>
      </w:r>
      <w:r>
        <w:rPr>
          <w:rFonts w:hint="eastAsia" w:ascii="仿宋" w:hAnsi="仿宋" w:eastAsia="仿宋" w:cs="仿宋"/>
          <w:i w:val="0"/>
          <w:caps w:val="0"/>
          <w:color w:val="222222"/>
          <w:spacing w:val="0"/>
          <w:sz w:val="32"/>
          <w:szCs w:val="32"/>
        </w:rPr>
        <w:t>万元</w:t>
      </w:r>
      <w:r>
        <w:rPr>
          <w:rFonts w:hint="eastAsia" w:ascii="仿宋" w:hAnsi="仿宋" w:eastAsia="仿宋" w:cs="仿宋"/>
          <w:i w:val="0"/>
          <w:caps w:val="0"/>
          <w:color w:val="222222"/>
          <w:spacing w:val="0"/>
          <w:sz w:val="32"/>
          <w:szCs w:val="32"/>
          <w:shd w:val="clear" w:fill="FFFFFF"/>
        </w:rPr>
        <w:t>，与上年预算持平；根据外事部门安排的</w:t>
      </w:r>
      <w:r>
        <w:rPr>
          <w:rFonts w:hint="eastAsia" w:ascii="仿宋" w:hAnsi="仿宋" w:eastAsia="仿宋" w:cs="仿宋"/>
          <w:i w:val="0"/>
          <w:caps w:val="0"/>
          <w:color w:val="222222"/>
          <w:spacing w:val="0"/>
          <w:sz w:val="32"/>
          <w:szCs w:val="32"/>
        </w:rPr>
        <w:t>2020</w:t>
      </w:r>
      <w:r>
        <w:rPr>
          <w:rFonts w:hint="eastAsia" w:ascii="仿宋" w:hAnsi="仿宋" w:eastAsia="仿宋" w:cs="仿宋"/>
          <w:i w:val="0"/>
          <w:caps w:val="0"/>
          <w:color w:val="222222"/>
          <w:spacing w:val="0"/>
          <w:sz w:val="32"/>
          <w:szCs w:val="32"/>
          <w:shd w:val="clear" w:fill="FFFFFF"/>
        </w:rPr>
        <w:t>年出国计划，拟安排出国（境）组</w:t>
      </w:r>
      <w:r>
        <w:rPr>
          <w:rFonts w:hint="default" w:ascii="Times New Roman" w:hAnsi="Times New Roman" w:cs="Times New Roman"/>
          <w:i w:val="0"/>
          <w:caps w:val="0"/>
          <w:color w:val="222222"/>
          <w:spacing w:val="0"/>
          <w:sz w:val="32"/>
          <w:szCs w:val="32"/>
          <w:shd w:val="clear" w:fill="FFFFFF"/>
        </w:rPr>
        <w:t>0</w:t>
      </w:r>
      <w:r>
        <w:rPr>
          <w:rFonts w:hint="eastAsia" w:ascii="仿宋" w:hAnsi="仿宋" w:eastAsia="仿宋" w:cs="仿宋"/>
          <w:i w:val="0"/>
          <w:caps w:val="0"/>
          <w:color w:val="222222"/>
          <w:spacing w:val="0"/>
          <w:sz w:val="32"/>
          <w:szCs w:val="32"/>
          <w:shd w:val="clear" w:fill="FFFFFF"/>
        </w:rPr>
        <w:t>次，出国（境）</w:t>
      </w:r>
      <w:r>
        <w:rPr>
          <w:rFonts w:hint="eastAsia" w:ascii="仿宋" w:hAnsi="仿宋" w:eastAsia="仿宋" w:cs="仿宋"/>
          <w:i w:val="0"/>
          <w:caps w:val="0"/>
          <w:color w:val="222222"/>
          <w:spacing w:val="0"/>
          <w:sz w:val="32"/>
          <w:szCs w:val="32"/>
        </w:rPr>
        <w:t>0</w:t>
      </w:r>
      <w:r>
        <w:rPr>
          <w:rFonts w:hint="eastAsia" w:ascii="仿宋" w:hAnsi="仿宋" w:eastAsia="仿宋" w:cs="仿宋"/>
          <w:i w:val="0"/>
          <w:caps w:val="0"/>
          <w:color w:val="222222"/>
          <w:spacing w:val="0"/>
          <w:sz w:val="32"/>
          <w:szCs w:val="32"/>
          <w:shd w:val="clear" w:fill="FFFFFF"/>
        </w:rPr>
        <w:t>人。出国（境）团组：目的地无，人数为</w:t>
      </w:r>
      <w:r>
        <w:rPr>
          <w:rFonts w:hint="eastAsia" w:ascii="仿宋" w:hAnsi="仿宋" w:eastAsia="仿宋" w:cs="仿宋"/>
          <w:i w:val="0"/>
          <w:caps w:val="0"/>
          <w:color w:val="222222"/>
          <w:spacing w:val="0"/>
          <w:sz w:val="32"/>
          <w:szCs w:val="32"/>
        </w:rPr>
        <w:t>0</w:t>
      </w:r>
      <w:r>
        <w:rPr>
          <w:rFonts w:hint="eastAsia" w:ascii="仿宋" w:hAnsi="仿宋" w:eastAsia="仿宋" w:cs="仿宋"/>
          <w:i w:val="0"/>
          <w:caps w:val="0"/>
          <w:color w:val="222222"/>
          <w:spacing w:val="0"/>
          <w:sz w:val="32"/>
          <w:szCs w:val="32"/>
          <w:shd w:val="clear" w:fill="FFFFFF"/>
        </w:rPr>
        <w:t>人，天数为</w:t>
      </w:r>
      <w:r>
        <w:rPr>
          <w:rFonts w:hint="eastAsia" w:ascii="仿宋" w:hAnsi="仿宋" w:eastAsia="仿宋" w:cs="仿宋"/>
          <w:i w:val="0"/>
          <w:caps w:val="0"/>
          <w:color w:val="222222"/>
          <w:spacing w:val="0"/>
          <w:sz w:val="32"/>
          <w:szCs w:val="32"/>
        </w:rPr>
        <w:t>0</w:t>
      </w:r>
      <w:r>
        <w:rPr>
          <w:rFonts w:hint="eastAsia" w:ascii="仿宋" w:hAnsi="仿宋" w:eastAsia="仿宋" w:cs="仿宋"/>
          <w:i w:val="0"/>
          <w:caps w:val="0"/>
          <w:color w:val="222222"/>
          <w:spacing w:val="0"/>
          <w:sz w:val="32"/>
          <w:szCs w:val="32"/>
          <w:shd w:val="clear" w:fill="FFFFFF"/>
        </w:rPr>
        <w:t>天，主要任务无；公务用车购置及运行费</w:t>
      </w:r>
      <w:r>
        <w:rPr>
          <w:rFonts w:hint="default" w:ascii="Times New Roman" w:hAnsi="Times New Roman" w:cs="Times New Roman"/>
          <w:i w:val="0"/>
          <w:caps w:val="0"/>
          <w:color w:val="222222"/>
          <w:spacing w:val="0"/>
          <w:sz w:val="32"/>
          <w:szCs w:val="32"/>
          <w:shd w:val="clear" w:fill="FFFFFF"/>
        </w:rPr>
        <w:t>25.61</w:t>
      </w:r>
      <w:r>
        <w:rPr>
          <w:rFonts w:hint="eastAsia" w:ascii="仿宋" w:hAnsi="仿宋" w:eastAsia="仿宋" w:cs="仿宋"/>
          <w:i w:val="0"/>
          <w:caps w:val="0"/>
          <w:color w:val="222222"/>
          <w:spacing w:val="0"/>
          <w:sz w:val="32"/>
          <w:szCs w:val="32"/>
        </w:rPr>
        <w:t>万元（其中，</w:t>
      </w:r>
      <w:r>
        <w:rPr>
          <w:rFonts w:hint="eastAsia" w:ascii="仿宋" w:hAnsi="仿宋" w:eastAsia="仿宋" w:cs="仿宋"/>
          <w:i w:val="0"/>
          <w:caps w:val="0"/>
          <w:color w:val="222222"/>
          <w:spacing w:val="0"/>
          <w:sz w:val="32"/>
          <w:szCs w:val="32"/>
          <w:shd w:val="clear" w:fill="FFFFFF"/>
        </w:rPr>
        <w:t>公务用车购置费</w:t>
      </w:r>
      <w:r>
        <w:rPr>
          <w:rFonts w:hint="default" w:ascii="Times New Roman" w:hAnsi="Times New Roman" w:cs="Times New Roman"/>
          <w:i w:val="0"/>
          <w:caps w:val="0"/>
          <w:color w:val="222222"/>
          <w:spacing w:val="0"/>
          <w:sz w:val="32"/>
          <w:szCs w:val="32"/>
          <w:shd w:val="clear" w:fill="FFFFFF"/>
        </w:rPr>
        <w:t>0</w:t>
      </w:r>
      <w:r>
        <w:rPr>
          <w:rFonts w:hint="eastAsia" w:ascii="仿宋" w:hAnsi="仿宋" w:eastAsia="仿宋" w:cs="仿宋"/>
          <w:i w:val="0"/>
          <w:caps w:val="0"/>
          <w:color w:val="222222"/>
          <w:spacing w:val="0"/>
          <w:sz w:val="32"/>
          <w:szCs w:val="32"/>
        </w:rPr>
        <w:t>万元</w:t>
      </w:r>
      <w:r>
        <w:rPr>
          <w:rFonts w:hint="eastAsia" w:ascii="仿宋" w:hAnsi="仿宋" w:eastAsia="仿宋" w:cs="仿宋"/>
          <w:i w:val="0"/>
          <w:caps w:val="0"/>
          <w:color w:val="222222"/>
          <w:spacing w:val="0"/>
          <w:sz w:val="32"/>
          <w:szCs w:val="32"/>
          <w:shd w:val="clear" w:fill="FFFFFF"/>
        </w:rPr>
        <w:t>，公务用车运行费</w:t>
      </w:r>
      <w:r>
        <w:rPr>
          <w:rFonts w:hint="default" w:ascii="Times New Roman" w:hAnsi="Times New Roman" w:cs="Times New Roman"/>
          <w:i w:val="0"/>
          <w:caps w:val="0"/>
          <w:color w:val="222222"/>
          <w:spacing w:val="0"/>
          <w:sz w:val="32"/>
          <w:szCs w:val="32"/>
          <w:shd w:val="clear" w:fill="FFFFFF"/>
        </w:rPr>
        <w:t>25.61</w:t>
      </w:r>
      <w:r>
        <w:rPr>
          <w:rFonts w:hint="eastAsia" w:ascii="仿宋" w:hAnsi="仿宋" w:eastAsia="仿宋" w:cs="仿宋"/>
          <w:i w:val="0"/>
          <w:caps w:val="0"/>
          <w:color w:val="222222"/>
          <w:spacing w:val="0"/>
          <w:sz w:val="32"/>
          <w:szCs w:val="32"/>
        </w:rPr>
        <w:t>万元）</w:t>
      </w:r>
      <w:r>
        <w:rPr>
          <w:rFonts w:hint="eastAsia" w:ascii="仿宋" w:hAnsi="仿宋" w:eastAsia="仿宋" w:cs="仿宋"/>
          <w:i w:val="0"/>
          <w:caps w:val="0"/>
          <w:color w:val="222222"/>
          <w:spacing w:val="0"/>
          <w:sz w:val="32"/>
          <w:szCs w:val="32"/>
          <w:shd w:val="clear" w:fill="FFFFFF"/>
        </w:rPr>
        <w:t>，较上年预算增长</w:t>
      </w:r>
      <w:r>
        <w:rPr>
          <w:rFonts w:hint="default" w:ascii="Times New Roman" w:hAnsi="Times New Roman" w:cs="Times New Roman"/>
          <w:i w:val="0"/>
          <w:caps w:val="0"/>
          <w:color w:val="222222"/>
          <w:spacing w:val="0"/>
          <w:sz w:val="32"/>
          <w:szCs w:val="32"/>
          <w:shd w:val="clear" w:fill="FFFFFF"/>
        </w:rPr>
        <w:t>218.53%</w:t>
      </w:r>
      <w:r>
        <w:rPr>
          <w:rFonts w:hint="eastAsia" w:ascii="仿宋" w:hAnsi="仿宋" w:eastAsia="仿宋" w:cs="仿宋"/>
          <w:i w:val="0"/>
          <w:caps w:val="0"/>
          <w:color w:val="222222"/>
          <w:spacing w:val="0"/>
          <w:sz w:val="32"/>
          <w:szCs w:val="32"/>
          <w:shd w:val="clear" w:fill="FFFFFF"/>
        </w:rPr>
        <w:t>。</w:t>
      </w:r>
      <w:r>
        <w:rPr>
          <w:rFonts w:hint="eastAsia" w:ascii="仿宋" w:hAnsi="仿宋" w:eastAsia="仿宋" w:cs="仿宋"/>
          <w:i w:val="0"/>
          <w:caps w:val="0"/>
          <w:color w:val="222222"/>
          <w:spacing w:val="0"/>
          <w:sz w:val="32"/>
          <w:szCs w:val="32"/>
        </w:rPr>
        <w:t>增长的</w:t>
      </w:r>
      <w:r>
        <w:rPr>
          <w:rFonts w:hint="eastAsia" w:ascii="仿宋" w:hAnsi="仿宋" w:eastAsia="仿宋" w:cs="仿宋"/>
          <w:i w:val="0"/>
          <w:caps w:val="0"/>
          <w:color w:val="222222"/>
          <w:spacing w:val="0"/>
          <w:sz w:val="32"/>
          <w:szCs w:val="32"/>
          <w:shd w:val="clear" w:fill="FFFFFF"/>
        </w:rPr>
        <w:t>主要原因是机构改革，三亚市国土资源局和三亚市规划委员会、三亚市海洋与渔业局二家单位合并所致。公务车保有量</w:t>
      </w:r>
      <w:r>
        <w:rPr>
          <w:rFonts w:hint="default" w:ascii="Times New Roman" w:hAnsi="Times New Roman" w:cs="Times New Roman"/>
          <w:i w:val="0"/>
          <w:caps w:val="0"/>
          <w:color w:val="222222"/>
          <w:spacing w:val="0"/>
          <w:sz w:val="32"/>
          <w:szCs w:val="32"/>
          <w:shd w:val="clear" w:fill="FFFFFF"/>
        </w:rPr>
        <w:t>16</w:t>
      </w:r>
      <w:r>
        <w:rPr>
          <w:rFonts w:hint="eastAsia" w:ascii="仿宋" w:hAnsi="仿宋" w:eastAsia="仿宋" w:cs="仿宋"/>
          <w:i w:val="0"/>
          <w:caps w:val="0"/>
          <w:color w:val="222222"/>
          <w:spacing w:val="0"/>
          <w:sz w:val="32"/>
          <w:szCs w:val="32"/>
        </w:rPr>
        <w:t>辆，计划购置0辆。公务接待费6.15</w:t>
      </w:r>
      <w:r>
        <w:rPr>
          <w:rFonts w:hint="eastAsia" w:ascii="仿宋" w:hAnsi="仿宋" w:eastAsia="仿宋" w:cs="仿宋"/>
          <w:i w:val="0"/>
          <w:caps w:val="0"/>
          <w:color w:val="222222"/>
          <w:spacing w:val="0"/>
          <w:sz w:val="32"/>
          <w:szCs w:val="32"/>
          <w:shd w:val="clear" w:fill="FFFFFF"/>
        </w:rPr>
        <w:t>万元，较上年预算增长</w:t>
      </w:r>
      <w:r>
        <w:rPr>
          <w:rFonts w:hint="default" w:ascii="Times New Roman" w:hAnsi="Times New Roman" w:cs="Times New Roman"/>
          <w:i w:val="0"/>
          <w:caps w:val="0"/>
          <w:color w:val="222222"/>
          <w:spacing w:val="0"/>
          <w:sz w:val="32"/>
          <w:szCs w:val="32"/>
          <w:shd w:val="clear" w:fill="FFFFFF"/>
        </w:rPr>
        <w:t>65.32%</w:t>
      </w:r>
      <w:r>
        <w:rPr>
          <w:rFonts w:hint="eastAsia" w:ascii="仿宋" w:hAnsi="仿宋" w:eastAsia="仿宋" w:cs="仿宋"/>
          <w:i w:val="0"/>
          <w:caps w:val="0"/>
          <w:color w:val="222222"/>
          <w:spacing w:val="0"/>
          <w:sz w:val="32"/>
          <w:szCs w:val="32"/>
          <w:shd w:val="clear" w:fill="FFFFFF"/>
        </w:rPr>
        <w:t>。</w:t>
      </w:r>
      <w:r>
        <w:rPr>
          <w:rFonts w:hint="eastAsia" w:ascii="仿宋" w:hAnsi="仿宋" w:eastAsia="仿宋" w:cs="仿宋"/>
          <w:i w:val="0"/>
          <w:caps w:val="0"/>
          <w:color w:val="222222"/>
          <w:spacing w:val="0"/>
          <w:sz w:val="32"/>
          <w:szCs w:val="32"/>
        </w:rPr>
        <w:t>增长的</w:t>
      </w:r>
      <w:r>
        <w:rPr>
          <w:rFonts w:hint="eastAsia" w:ascii="仿宋" w:hAnsi="仿宋" w:eastAsia="仿宋" w:cs="仿宋"/>
          <w:i w:val="0"/>
          <w:caps w:val="0"/>
          <w:color w:val="222222"/>
          <w:spacing w:val="0"/>
          <w:sz w:val="32"/>
          <w:szCs w:val="32"/>
          <w:shd w:val="clear" w:fill="FFFFFF"/>
        </w:rPr>
        <w:t>主要原因包括：因机构改革，三亚市国土资源局、三亚市规划委员会、三亚市海洋与渔业局三家单位合并。计划接待</w:t>
      </w:r>
      <w:r>
        <w:rPr>
          <w:rFonts w:hint="default" w:ascii="Times New Roman" w:hAnsi="Times New Roman" w:cs="Times New Roman"/>
          <w:i w:val="0"/>
          <w:caps w:val="0"/>
          <w:color w:val="222222"/>
          <w:spacing w:val="0"/>
          <w:sz w:val="32"/>
          <w:szCs w:val="32"/>
          <w:shd w:val="clear" w:fill="FFFFFF"/>
        </w:rPr>
        <w:t>60</w:t>
      </w:r>
      <w:r>
        <w:rPr>
          <w:rFonts w:hint="eastAsia" w:ascii="仿宋" w:hAnsi="仿宋" w:eastAsia="仿宋" w:cs="仿宋"/>
          <w:i w:val="0"/>
          <w:caps w:val="0"/>
          <w:color w:val="222222"/>
          <w:spacing w:val="0"/>
          <w:sz w:val="32"/>
          <w:szCs w:val="32"/>
        </w:rPr>
        <w:t>批470人次</w:t>
      </w:r>
      <w:r>
        <w:rPr>
          <w:rFonts w:hint="eastAsia" w:ascii="仿宋" w:hAnsi="仿宋" w:eastAsia="仿宋" w:cs="仿宋"/>
          <w:i w:val="0"/>
          <w:caps w:val="0"/>
          <w:color w:val="222222"/>
          <w:spacing w:val="0"/>
          <w:sz w:val="32"/>
          <w:szCs w:val="32"/>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（二）三亚市自然资源和规划局（部门）2020年政府性基金预算“三公”经费预算数为0万元，其中：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both"/>
        <w:rPr>
          <w:rFonts w:hint="default" w:ascii="Calibri" w:hAnsi="Calibri" w:cs="Calibri"/>
          <w:i w:val="0"/>
          <w:caps w:val="0"/>
          <w:color w:val="222222"/>
          <w:spacing w:val="0"/>
          <w:sz w:val="21"/>
          <w:szCs w:val="21"/>
        </w:rPr>
      </w:pPr>
      <w:r>
        <w:rPr>
          <w:rFonts w:hint="default" w:ascii="Times New Roman" w:hAnsi="Times New Roman" w:cs="Times New Roman"/>
          <w:i w:val="0"/>
          <w:caps w:val="0"/>
          <w:color w:val="222222"/>
          <w:spacing w:val="0"/>
          <w:sz w:val="32"/>
          <w:szCs w:val="32"/>
          <w:shd w:val="clear" w:fill="FFFFFF"/>
        </w:rPr>
        <w:t>    </w:t>
      </w:r>
      <w:r>
        <w:rPr>
          <w:rFonts w:hint="eastAsia" w:ascii="仿宋" w:hAnsi="仿宋" w:eastAsia="仿宋" w:cs="仿宋"/>
          <w:i w:val="0"/>
          <w:caps w:val="0"/>
          <w:color w:val="222222"/>
          <w:spacing w:val="0"/>
          <w:sz w:val="32"/>
          <w:szCs w:val="32"/>
          <w:shd w:val="clear" w:fill="FFFFFF"/>
        </w:rPr>
        <w:t>因公出国（境）经费</w:t>
      </w:r>
      <w:r>
        <w:rPr>
          <w:rFonts w:hint="eastAsia" w:ascii="仿宋" w:hAnsi="仿宋" w:eastAsia="仿宋" w:cs="仿宋"/>
          <w:i w:val="0"/>
          <w:caps w:val="0"/>
          <w:color w:val="222222"/>
          <w:spacing w:val="0"/>
          <w:sz w:val="32"/>
          <w:szCs w:val="32"/>
        </w:rPr>
        <w:t>0万元</w:t>
      </w:r>
      <w:r>
        <w:rPr>
          <w:rFonts w:hint="eastAsia" w:ascii="仿宋" w:hAnsi="仿宋" w:eastAsia="仿宋" w:cs="仿宋"/>
          <w:i w:val="0"/>
          <w:caps w:val="0"/>
          <w:color w:val="222222"/>
          <w:spacing w:val="0"/>
          <w:sz w:val="32"/>
          <w:szCs w:val="32"/>
          <w:shd w:val="clear" w:fill="FFFFFF"/>
        </w:rPr>
        <w:t>，与上年预算持平；公务用车购置及运行费</w:t>
      </w:r>
      <w:r>
        <w:rPr>
          <w:rFonts w:hint="default" w:ascii="Times New Roman" w:hAnsi="Times New Roman" w:cs="Times New Roman"/>
          <w:i w:val="0"/>
          <w:caps w:val="0"/>
          <w:color w:val="222222"/>
          <w:spacing w:val="0"/>
          <w:sz w:val="32"/>
          <w:szCs w:val="32"/>
          <w:shd w:val="clear" w:fill="FFFFFF"/>
        </w:rPr>
        <w:t>0</w:t>
      </w:r>
      <w:r>
        <w:rPr>
          <w:rFonts w:hint="eastAsia" w:ascii="仿宋" w:hAnsi="仿宋" w:eastAsia="仿宋" w:cs="仿宋"/>
          <w:i w:val="0"/>
          <w:caps w:val="0"/>
          <w:color w:val="222222"/>
          <w:spacing w:val="0"/>
          <w:sz w:val="32"/>
          <w:szCs w:val="32"/>
        </w:rPr>
        <w:t>万元（其中，</w:t>
      </w:r>
      <w:r>
        <w:rPr>
          <w:rFonts w:hint="eastAsia" w:ascii="仿宋" w:hAnsi="仿宋" w:eastAsia="仿宋" w:cs="仿宋"/>
          <w:i w:val="0"/>
          <w:caps w:val="0"/>
          <w:color w:val="222222"/>
          <w:spacing w:val="0"/>
          <w:sz w:val="32"/>
          <w:szCs w:val="32"/>
          <w:shd w:val="clear" w:fill="FFFFFF"/>
        </w:rPr>
        <w:t>公务用车购置费</w:t>
      </w:r>
      <w:r>
        <w:rPr>
          <w:rFonts w:hint="default" w:ascii="Times New Roman" w:hAnsi="Times New Roman" w:cs="Times New Roman"/>
          <w:i w:val="0"/>
          <w:caps w:val="0"/>
          <w:color w:val="222222"/>
          <w:spacing w:val="0"/>
          <w:sz w:val="32"/>
          <w:szCs w:val="32"/>
          <w:shd w:val="clear" w:fill="FFFFFF"/>
        </w:rPr>
        <w:t>0</w:t>
      </w:r>
      <w:r>
        <w:rPr>
          <w:rFonts w:hint="eastAsia" w:ascii="仿宋" w:hAnsi="仿宋" w:eastAsia="仿宋" w:cs="仿宋"/>
          <w:i w:val="0"/>
          <w:caps w:val="0"/>
          <w:color w:val="222222"/>
          <w:spacing w:val="0"/>
          <w:sz w:val="32"/>
          <w:szCs w:val="32"/>
        </w:rPr>
        <w:t>万元</w:t>
      </w:r>
      <w:r>
        <w:rPr>
          <w:rFonts w:hint="eastAsia" w:ascii="仿宋" w:hAnsi="仿宋" w:eastAsia="仿宋" w:cs="仿宋"/>
          <w:i w:val="0"/>
          <w:caps w:val="0"/>
          <w:color w:val="222222"/>
          <w:spacing w:val="0"/>
          <w:sz w:val="32"/>
          <w:szCs w:val="32"/>
          <w:shd w:val="clear" w:fill="FFFFFF"/>
        </w:rPr>
        <w:t>，公务用车运行费</w:t>
      </w:r>
      <w:r>
        <w:rPr>
          <w:rFonts w:hint="default" w:ascii="Times New Roman" w:hAnsi="Times New Roman" w:cs="Times New Roman"/>
          <w:i w:val="0"/>
          <w:caps w:val="0"/>
          <w:color w:val="222222"/>
          <w:spacing w:val="0"/>
          <w:sz w:val="32"/>
          <w:szCs w:val="32"/>
          <w:shd w:val="clear" w:fill="FFFFFF"/>
        </w:rPr>
        <w:t>0</w:t>
      </w:r>
      <w:r>
        <w:rPr>
          <w:rFonts w:hint="eastAsia" w:ascii="仿宋" w:hAnsi="仿宋" w:eastAsia="仿宋" w:cs="仿宋"/>
          <w:i w:val="0"/>
          <w:caps w:val="0"/>
          <w:color w:val="222222"/>
          <w:spacing w:val="0"/>
          <w:sz w:val="32"/>
          <w:szCs w:val="32"/>
        </w:rPr>
        <w:t>万元）</w:t>
      </w:r>
      <w:r>
        <w:rPr>
          <w:rFonts w:hint="eastAsia" w:ascii="仿宋" w:hAnsi="仿宋" w:eastAsia="仿宋" w:cs="仿宋"/>
          <w:i w:val="0"/>
          <w:caps w:val="0"/>
          <w:color w:val="222222"/>
          <w:spacing w:val="0"/>
          <w:sz w:val="32"/>
          <w:szCs w:val="32"/>
          <w:shd w:val="clear" w:fill="FFFFFF"/>
        </w:rPr>
        <w:t>，与上年预算持平；</w:t>
      </w:r>
      <w:r>
        <w:rPr>
          <w:rFonts w:hint="eastAsia" w:ascii="仿宋" w:hAnsi="仿宋" w:eastAsia="仿宋" w:cs="仿宋"/>
          <w:i w:val="0"/>
          <w:caps w:val="0"/>
          <w:color w:val="222222"/>
          <w:spacing w:val="0"/>
          <w:sz w:val="32"/>
          <w:szCs w:val="32"/>
        </w:rPr>
        <w:t>公务接待费0</w:t>
      </w:r>
      <w:r>
        <w:rPr>
          <w:rFonts w:hint="eastAsia" w:ascii="仿宋" w:hAnsi="仿宋" w:eastAsia="仿宋" w:cs="仿宋"/>
          <w:i w:val="0"/>
          <w:caps w:val="0"/>
          <w:color w:val="222222"/>
          <w:spacing w:val="0"/>
          <w:sz w:val="32"/>
          <w:szCs w:val="32"/>
          <w:shd w:val="clear" w:fill="FFFFFF"/>
        </w:rPr>
        <w:t>万元，与上年预算持平。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shd w:val="clear" w:fill="FFFFFF"/>
        </w:rPr>
        <w:t>五、关于</w:t>
      </w:r>
      <w:r>
        <w:rPr>
          <w:rFonts w:hint="eastAsia" w:ascii="黑体" w:hAnsi="宋体" w:eastAsia="黑体" w:cs="黑体"/>
          <w:i w:val="0"/>
          <w:caps w:val="0"/>
          <w:color w:val="222222"/>
          <w:spacing w:val="0"/>
          <w:sz w:val="32"/>
          <w:szCs w:val="32"/>
        </w:rPr>
        <w:t>三亚市自然资源和规划局</w:t>
      </w:r>
      <w:r>
        <w:rPr>
          <w:rFonts w:hint="eastAsia" w:ascii="黑体" w:hAnsi="宋体" w:eastAsia="黑体" w:cs="黑体"/>
          <w:i w:val="0"/>
          <w:caps w:val="0"/>
          <w:color w:val="222222"/>
          <w:spacing w:val="0"/>
          <w:sz w:val="32"/>
          <w:szCs w:val="32"/>
          <w:shd w:val="clear" w:fill="FFFFFF"/>
        </w:rPr>
        <w:t>（部门）2020年政府性基金预算当年拨款情况说明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楷体" w:hAnsi="楷体" w:eastAsia="楷体" w:cs="楷体"/>
          <w:i w:val="0"/>
          <w:caps w:val="0"/>
          <w:color w:val="222222"/>
          <w:spacing w:val="0"/>
          <w:sz w:val="32"/>
          <w:szCs w:val="32"/>
        </w:rPr>
        <w:t>（一）政府性基金预算当年规模变化情况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三亚市自然资源和规划局（部门）2020年政府性基金预算当年拨款4056万元，比上年预算数减少1667万元，主要是2020年项目预算财政核减较大。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楷体" w:hAnsi="楷体" w:eastAsia="楷体" w:cs="楷体"/>
          <w:i w:val="0"/>
          <w:caps w:val="0"/>
          <w:color w:val="222222"/>
          <w:spacing w:val="0"/>
          <w:sz w:val="32"/>
          <w:szCs w:val="32"/>
        </w:rPr>
        <w:t>（二）政府性基金预算当年拨款结构情况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80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城乡社区支出（类）支出4056万元，占100%。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楷体" w:hAnsi="楷体" w:eastAsia="楷体" w:cs="楷体"/>
          <w:i w:val="0"/>
          <w:caps w:val="0"/>
          <w:color w:val="222222"/>
          <w:spacing w:val="0"/>
          <w:sz w:val="32"/>
          <w:szCs w:val="32"/>
        </w:rPr>
        <w:t>（三）政府性基金预算当年拨款具体使用情况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城乡社区支出（类）国有土地使用权出让收入安排的支出（款）土地出让业务支出（项）2020年预算数为4056万元，比上年预算数减少1667万元，主要是2020年项目预算财政核减较大。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shd w:val="clear" w:fill="FFFFFF"/>
        </w:rPr>
        <w:t>六、关于</w:t>
      </w:r>
      <w:r>
        <w:rPr>
          <w:rFonts w:hint="eastAsia" w:ascii="黑体" w:hAnsi="宋体" w:eastAsia="黑体" w:cs="黑体"/>
          <w:i w:val="0"/>
          <w:caps w:val="0"/>
          <w:color w:val="222222"/>
          <w:spacing w:val="0"/>
          <w:sz w:val="32"/>
          <w:szCs w:val="32"/>
        </w:rPr>
        <w:t>三亚市自然资源和规划局</w:t>
      </w:r>
      <w:r>
        <w:rPr>
          <w:rFonts w:hint="eastAsia" w:ascii="黑体" w:hAnsi="宋体" w:eastAsia="黑体" w:cs="黑体"/>
          <w:i w:val="0"/>
          <w:caps w:val="0"/>
          <w:color w:val="222222"/>
          <w:spacing w:val="0"/>
          <w:sz w:val="32"/>
          <w:szCs w:val="32"/>
          <w:shd w:val="clear" w:fill="FFFFFF"/>
        </w:rPr>
        <w:t>（部门）2020年收支预算情况的总体说明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按照综合预算原则，三亚市自然资源和规划局（部门）所有收入和支出均纳入部门预算管理。收入包括：一般公共预算收入、政府性基金收入；支出包括：社会保障和就业支出、卫生健康支出、城乡社区支出、自然资源海洋气象等支出、住房保障支出。三亚市自然资源和规划局（部门）2020年收支总预算9785.72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shd w:val="clear" w:fill="FFFFFF"/>
        </w:rPr>
        <w:t>七、关于</w:t>
      </w:r>
      <w:r>
        <w:rPr>
          <w:rFonts w:hint="eastAsia" w:ascii="黑体" w:hAnsi="宋体" w:eastAsia="黑体" w:cs="黑体"/>
          <w:i w:val="0"/>
          <w:caps w:val="0"/>
          <w:color w:val="222222"/>
          <w:spacing w:val="0"/>
          <w:sz w:val="32"/>
          <w:szCs w:val="32"/>
        </w:rPr>
        <w:t>三亚市自然资源和规划局</w:t>
      </w:r>
      <w:r>
        <w:rPr>
          <w:rFonts w:hint="eastAsia" w:ascii="黑体" w:hAnsi="宋体" w:eastAsia="黑体" w:cs="黑体"/>
          <w:i w:val="0"/>
          <w:caps w:val="0"/>
          <w:color w:val="222222"/>
          <w:spacing w:val="0"/>
          <w:sz w:val="32"/>
          <w:szCs w:val="32"/>
          <w:shd w:val="clear" w:fill="FFFFFF"/>
        </w:rPr>
        <w:t>（部门）2020年收入预算情况说明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三亚市自然资源和规划局（部门）2020年收入预算9785.72万元，其中：上年结转0万元，占0%；经费拨款收入5729.72万元，占58.55%；政府性基金收入4056万元，占41.45%；比上年预算数增加1765.67万元，主要是</w:t>
      </w:r>
      <w:r>
        <w:rPr>
          <w:rFonts w:hint="eastAsia" w:ascii="仿宋" w:hAnsi="仿宋" w:eastAsia="仿宋" w:cs="仿宋"/>
          <w:i w:val="0"/>
          <w:caps w:val="0"/>
          <w:color w:val="222222"/>
          <w:spacing w:val="0"/>
          <w:sz w:val="32"/>
          <w:szCs w:val="32"/>
          <w:shd w:val="clear" w:fill="FFFFFF"/>
        </w:rPr>
        <w:t>因机构改革，三亚市国土资源局和三亚市规划委员会、三亚市海洋与渔业局二家单位合并所致。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shd w:val="clear" w:fill="FFFFFF"/>
        </w:rPr>
        <w:t>八、关于</w:t>
      </w:r>
      <w:r>
        <w:rPr>
          <w:rFonts w:hint="eastAsia" w:ascii="黑体" w:hAnsi="宋体" w:eastAsia="黑体" w:cs="黑体"/>
          <w:i w:val="0"/>
          <w:caps w:val="0"/>
          <w:color w:val="222222"/>
          <w:spacing w:val="0"/>
          <w:sz w:val="32"/>
          <w:szCs w:val="32"/>
        </w:rPr>
        <w:t>三亚市自然资源和规划局</w:t>
      </w:r>
      <w:r>
        <w:rPr>
          <w:rFonts w:hint="eastAsia" w:ascii="黑体" w:hAnsi="宋体" w:eastAsia="黑体" w:cs="黑体"/>
          <w:i w:val="0"/>
          <w:caps w:val="0"/>
          <w:color w:val="222222"/>
          <w:spacing w:val="0"/>
          <w:sz w:val="32"/>
          <w:szCs w:val="32"/>
          <w:shd w:val="clear" w:fill="FFFFFF"/>
        </w:rPr>
        <w:t>（部门）2020年支出预算情况说明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三亚市自然资源和规划局（部门）2020年支出预算9785.72万元，其中：基本支出3567.72万元，占36.46%；项目支出6218万元，占63.54%。比上年预算数增加1765.67万元，主要是</w:t>
      </w:r>
      <w:r>
        <w:rPr>
          <w:rFonts w:hint="eastAsia" w:ascii="仿宋" w:hAnsi="仿宋" w:eastAsia="仿宋" w:cs="仿宋"/>
          <w:i w:val="0"/>
          <w:caps w:val="0"/>
          <w:color w:val="222222"/>
          <w:spacing w:val="0"/>
          <w:sz w:val="32"/>
          <w:szCs w:val="32"/>
          <w:shd w:val="clear" w:fill="FFFFFF"/>
        </w:rPr>
        <w:t>因机构改革，三亚市国土资源局和三亚市规划委员会、三亚市海洋与渔业局二家单位合并所致。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shd w:val="clear" w:fill="FFFFFF"/>
        </w:rPr>
        <w:t>九、其他重要事项的情况说明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楷体" w:hAnsi="楷体" w:eastAsia="楷体" w:cs="楷体"/>
          <w:i w:val="0"/>
          <w:caps w:val="0"/>
          <w:color w:val="222222"/>
          <w:spacing w:val="0"/>
          <w:sz w:val="32"/>
          <w:szCs w:val="32"/>
        </w:rPr>
        <w:t>（一）机关运行经费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2020年三亚市自然资源和规划局（部门）本级、三亚市国土资源监察支队、三亚市土地整理中心、三亚市国土资源和测绘地理信息中心、三亚市不动产登记中心、三亚市规划研究和信息中心等的机关运行经费预算289.26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楷体" w:hAnsi="楷体" w:eastAsia="楷体" w:cs="楷体"/>
          <w:i w:val="0"/>
          <w:caps w:val="0"/>
          <w:color w:val="222222"/>
          <w:spacing w:val="0"/>
          <w:sz w:val="32"/>
          <w:szCs w:val="32"/>
        </w:rPr>
        <w:t>（二）政府采购情况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2020年三亚市自然资源和规划局（部门）本级及下属各预算单位政府采购预算总额67.91万元，其中：政府采购货物预算67.91万元，政府采购工程预算0万元，政府采购服务预算0万元。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楷体" w:hAnsi="楷体" w:eastAsia="楷体" w:cs="楷体"/>
          <w:i w:val="0"/>
          <w:caps w:val="0"/>
          <w:color w:val="222222"/>
          <w:spacing w:val="0"/>
          <w:sz w:val="32"/>
          <w:szCs w:val="32"/>
        </w:rPr>
        <w:t>（三）国有资产占有使用情况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截至2019年12月31日，三亚市自然资源和规划局（部门）本级及下属各预算单位共有车辆16辆，其中，一般公务用车9辆，一般执法执勤用车7辆。单位价值100万元以上设备6台（套）。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楷体" w:hAnsi="楷体" w:eastAsia="楷体" w:cs="楷体"/>
          <w:i w:val="0"/>
          <w:caps w:val="0"/>
          <w:color w:val="222222"/>
          <w:spacing w:val="0"/>
          <w:sz w:val="32"/>
          <w:szCs w:val="32"/>
        </w:rPr>
        <w:t>（四）绩效目标设置情况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2020年三亚市自然资源和规划局（部门）12个项目实行绩效目标管理，涉及一般公共预算2136万元、政府性基金4056万元。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Calibri" w:hAnsi="Calibri" w:cs="Calibri"/>
          <w:i w:val="0"/>
          <w:caps w:val="0"/>
          <w:color w:val="222222"/>
          <w:spacing w:val="0"/>
          <w:sz w:val="21"/>
          <w:szCs w:val="21"/>
        </w:rPr>
      </w:pPr>
      <w:r>
        <w:rPr>
          <w:rFonts w:hint="eastAsia" w:ascii="黑体" w:hAnsi="宋体" w:eastAsia="黑体" w:cs="黑体"/>
          <w:i w:val="0"/>
          <w:caps w:val="0"/>
          <w:color w:val="222222"/>
          <w:spacing w:val="0"/>
          <w:sz w:val="32"/>
          <w:szCs w:val="32"/>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Calibri" w:hAnsi="Calibri" w:cs="Calibri"/>
          <w:i w:val="0"/>
          <w:caps w:val="0"/>
          <w:color w:val="222222"/>
          <w:spacing w:val="0"/>
          <w:sz w:val="21"/>
          <w:szCs w:val="21"/>
        </w:rPr>
      </w:pPr>
      <w:r>
        <w:rPr>
          <w:rFonts w:hint="eastAsia" w:ascii="黑体" w:hAnsi="宋体" w:eastAsia="黑体" w:cs="黑体"/>
          <w:b/>
          <w:i w:val="0"/>
          <w:caps w:val="0"/>
          <w:color w:val="222222"/>
          <w:spacing w:val="0"/>
          <w:sz w:val="32"/>
          <w:szCs w:val="32"/>
        </w:rPr>
        <w:t>第四部分  名词解释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一、一般公共预算收入：指用于反映税收收入、专项收入、行政事业性收费收入、罚没收入、国有资源（资产）有偿使用收入、政府住房基金收入、捐赠收入等财政收入。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二、政府性基金收入：指是用于反映政府为支持某项事业发展或特定基础设施建设，依法依规向公民、法人和其他组织征收的以及出让土地、发行彩票等方式取得的具有专门用途的资金。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三、其他财政资金收入：指用于反映政府为履行职责，依法依规收取、提取和安排使用的未纳入预算管理的除教育收费以外的各种财政性资金。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四、收回存量资金收入：指用于反映各级财政部门收回的上缴国库但不列入预算的存量资金，包括收回单位实有账户存量资金、收回国库集中支付结余资金、收回转移支付存量资金和收回财政专户存量资金。。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五、事业收入：指用于反映事业单位开展专业业务活动及辅助活动所取得的收入。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六、</w:t>
      </w:r>
      <w:r>
        <w:rPr>
          <w:rFonts w:hint="eastAsia" w:ascii="仿宋" w:hAnsi="仿宋" w:eastAsia="仿宋" w:cs="仿宋"/>
          <w:i w:val="0"/>
          <w:caps w:val="0"/>
          <w:color w:val="222222"/>
          <w:spacing w:val="0"/>
          <w:sz w:val="32"/>
          <w:szCs w:val="32"/>
        </w:rPr>
        <w:t>事业单位经营收入</w:t>
      </w:r>
      <w:r>
        <w:rPr>
          <w:rFonts w:hint="eastAsia" w:ascii="仿宋" w:hAnsi="仿宋" w:eastAsia="仿宋" w:cs="仿宋"/>
          <w:i w:val="0"/>
          <w:caps w:val="0"/>
          <w:color w:val="000000"/>
          <w:spacing w:val="0"/>
          <w:sz w:val="32"/>
          <w:szCs w:val="32"/>
        </w:rPr>
        <w:t>：指用于反映事业单位在专业活动及辅助活动之外开展非独立核算经营活动取得的收入。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七、其他收入：指用于反映除上述一般公共预算收入、政府性基金收入、其他财政性资金收入、收回存量资金收入、事业收入、事业单位经营收入和往来收入以外的收入。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八、</w:t>
      </w:r>
      <w:r>
        <w:rPr>
          <w:rFonts w:hint="eastAsia" w:ascii="仿宋" w:hAnsi="仿宋" w:eastAsia="仿宋" w:cs="仿宋"/>
          <w:i w:val="0"/>
          <w:caps w:val="0"/>
          <w:color w:val="222222"/>
          <w:spacing w:val="0"/>
          <w:sz w:val="32"/>
          <w:szCs w:val="32"/>
        </w:rPr>
        <w:t>用事业基金弥补收支差额</w:t>
      </w:r>
      <w:r>
        <w:rPr>
          <w:rFonts w:hint="eastAsia" w:ascii="仿宋" w:hAnsi="仿宋" w:eastAsia="仿宋" w:cs="仿宋"/>
          <w:i w:val="0"/>
          <w:caps w:val="0"/>
          <w:color w:val="000000"/>
          <w:spacing w:val="0"/>
          <w:sz w:val="32"/>
          <w:szCs w:val="32"/>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九、</w:t>
      </w:r>
      <w:r>
        <w:rPr>
          <w:rFonts w:hint="eastAsia" w:ascii="仿宋" w:hAnsi="仿宋" w:eastAsia="仿宋" w:cs="仿宋"/>
          <w:i w:val="0"/>
          <w:caps w:val="0"/>
          <w:color w:val="222222"/>
          <w:spacing w:val="0"/>
          <w:sz w:val="32"/>
          <w:szCs w:val="32"/>
        </w:rPr>
        <w:t>上年结转结余收入</w:t>
      </w:r>
      <w:r>
        <w:rPr>
          <w:rFonts w:hint="eastAsia" w:ascii="仿宋" w:hAnsi="仿宋" w:eastAsia="仿宋" w:cs="仿宋"/>
          <w:i w:val="0"/>
          <w:caps w:val="0"/>
          <w:color w:val="000000"/>
          <w:spacing w:val="0"/>
          <w:sz w:val="32"/>
          <w:szCs w:val="32"/>
        </w:rPr>
        <w:t>：指用于反映以前年度尚未完成、结转到本年仍按规定用途继续使用的资金等。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十、一般公共服务（类）××事务（款）行政运行（项）：指××用于保障机构正常运行、开展日常工作的基本支出。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十一、一般公共服务（类）××事务（款）一般行政管理事务（项）：指用于××等未单独设置项级科目的项目支出。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十二、基本支出：指行政事业单位用于为保障其机构正常运转、完成日常工作任务而发生的人员支出和公用支出。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十三、项目支出：指在基本支出之外为完成特定的行政工作任务或事业发展目标所发生的支出。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222222"/>
          <w:spacing w:val="0"/>
          <w:sz w:val="32"/>
          <w:szCs w:val="32"/>
        </w:rPr>
        <w:t>十</w:t>
      </w:r>
      <w:r>
        <w:rPr>
          <w:rFonts w:hint="eastAsia" w:ascii="仿宋" w:hAnsi="仿宋" w:eastAsia="仿宋" w:cs="仿宋"/>
          <w:i w:val="0"/>
          <w:caps w:val="0"/>
          <w:color w:val="000000"/>
          <w:spacing w:val="0"/>
          <w:sz w:val="32"/>
          <w:szCs w:val="32"/>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Calibri" w:hAnsi="Calibri" w:cs="Calibri"/>
          <w:i w:val="0"/>
          <w:caps w:val="0"/>
          <w:color w:val="222222"/>
          <w:spacing w:val="0"/>
          <w:sz w:val="21"/>
          <w:szCs w:val="21"/>
        </w:rPr>
      </w:pPr>
      <w:r>
        <w:rPr>
          <w:rFonts w:hint="eastAsia" w:ascii="仿宋" w:hAnsi="仿宋" w:eastAsia="仿宋" w:cs="仿宋"/>
          <w:i w:val="0"/>
          <w:caps w:val="0"/>
          <w:color w:val="000000"/>
          <w:spacing w:val="0"/>
          <w:sz w:val="32"/>
          <w:szCs w:val="32"/>
        </w:rPr>
        <w:t>十五、机关运行经费：包括办公及印刷费、邮电费、差旅费、会议费、日常维修费、专用材料及一般设备购置费、办公用房水电费、办公用房取暖费、办公用房物业管理费、公务用车运行维护费以及其他费用。</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C4CBE"/>
    <w:rsid w:val="097E1E38"/>
    <w:rsid w:val="45844EF5"/>
    <w:rsid w:val="4F17097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leovo</dc:creator>
  <cp:lastModifiedBy>unknown</cp:lastModifiedBy>
  <dcterms:modified xsi:type="dcterms:W3CDTF">2021-05-25T07:05:40Z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