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2019年三亚市发展和改革委员会部门预算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三亚市发展和改革委员会</w:t>
      </w:r>
      <w:r>
        <w:rPr>
          <w:rFonts w:hint="eastAsia" w:ascii="黑体" w:hAnsi="黑体" w:eastAsia="黑体"/>
          <w:sz w:val="32"/>
          <w:szCs w:val="32"/>
        </w:rPr>
        <w:t>（部门）概况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部门主要职能及机构设置情况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三亚市发展和改革委员会（部门）2019年部门预算表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numId w:val="0"/>
        </w:numPr>
        <w:ind w:leftChars="0"/>
        <w:jc w:val="left"/>
        <w:rPr>
          <w:rFonts w:hint="eastAsia" w:ascii="黑体" w:hAnsi="宋体" w:eastAsia="黑体" w:cs="黑体"/>
          <w:sz w:val="32"/>
          <w:szCs w:val="32"/>
          <w:highlight w:val="yellow"/>
          <w:lang w:val="en-US"/>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部门支出总表</w:t>
      </w:r>
    </w:p>
    <w:p>
      <w:pPr>
        <w:pStyle w:val="8"/>
        <w:widowControl/>
        <w:numPr>
          <w:numId w:val="0"/>
        </w:numPr>
        <w:ind w:leftChars="0"/>
        <w:jc w:val="left"/>
        <w:rPr>
          <w:rFonts w:hint="eastAsia" w:ascii="黑体" w:hAnsi="宋体" w:eastAsia="黑体" w:cs="黑体"/>
          <w:sz w:val="32"/>
          <w:szCs w:val="32"/>
          <w:lang w:val="en-US"/>
        </w:rPr>
      </w:pPr>
      <w:r>
        <w:rPr>
          <w:rFonts w:hint="eastAsia" w:ascii="仿宋_GB2312" w:hAnsi="仿宋_GB2312" w:eastAsia="仿宋_GB2312" w:cs="仿宋_GB2312"/>
          <w:sz w:val="32"/>
          <w:szCs w:val="32"/>
          <w:lang w:eastAsia="zh-CN"/>
        </w:rPr>
        <w:t>九、项目支出绩效信息表</w:t>
      </w:r>
    </w:p>
    <w:p>
      <w:pPr>
        <w:pStyle w:val="8"/>
        <w:widowControl/>
        <w:numPr>
          <w:numId w:val="0"/>
        </w:numPr>
        <w:ind w:leftChars="0"/>
        <w:jc w:val="left"/>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十、省级财力安排的专项转移支付预算表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三亚市发展和改革委员会（部门）2019年部门预算情况说明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三亚市发展和改革委员会（部门）概况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rPr>
        <w:t>部门主要职能及机构设置情况</w:t>
      </w:r>
    </w:p>
    <w:p>
      <w:pPr>
        <w:pStyle w:val="6"/>
        <w:numPr>
          <w:ilvl w:val="0"/>
          <w:numId w:val="6"/>
        </w:numPr>
        <w:ind w:firstLineChars="0"/>
        <w:jc w:val="left"/>
        <w:rPr>
          <w:rFonts w:ascii="黑体" w:hAnsi="黑体" w:eastAsia="黑体" w:cs="仿宋_GB2312"/>
          <w:sz w:val="32"/>
          <w:szCs w:val="32"/>
        </w:rPr>
      </w:pPr>
      <w:r>
        <w:rPr>
          <w:rFonts w:hint="eastAsia" w:ascii="仿宋_GB2312" w:hAnsi="黑体" w:eastAsia="仿宋_GB2312" w:cs="仿宋_GB2312"/>
          <w:sz w:val="32"/>
          <w:szCs w:val="32"/>
        </w:rPr>
        <w:t>部门主要职能</w:t>
      </w:r>
    </w:p>
    <w:p>
      <w:pPr>
        <w:pStyle w:val="7"/>
        <w:ind w:firstLine="0" w:firstLineChars="0"/>
        <w:jc w:val="left"/>
        <w:rPr>
          <w:rFonts w:eastAsia="仿宋_GB2312"/>
          <w:kern w:val="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（一）</w:t>
      </w:r>
      <w:r>
        <w:rPr>
          <w:rFonts w:hint="eastAsia" w:eastAsia="仿宋_GB2312"/>
          <w:kern w:val="0"/>
          <w:sz w:val="28"/>
          <w:szCs w:val="28"/>
        </w:rPr>
        <w:t>贯彻执行国家和省有关国民经济、社会发展、经济体制改革以及对外开放工作的方针政策和法律规章；研究拟订并组织实施全市国民经济、社会发展战略、中长期规划和年度计划；协调、衔接和平衡各主要行业的行业规划及相关政策措施；受市政府委托向市人大提交国民经济和社会发展计划报告。</w:t>
      </w:r>
    </w:p>
    <w:p>
      <w:pPr>
        <w:spacing w:line="560" w:lineRule="exact"/>
        <w:rPr>
          <w:rFonts w:ascii="仿宋_GB2312" w:hAnsi="楷体" w:eastAsia="仿宋_GB2312"/>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（二）</w:t>
      </w:r>
      <w:r>
        <w:rPr>
          <w:rFonts w:hint="eastAsia" w:eastAsia="仿宋_GB2312"/>
          <w:kern w:val="0"/>
          <w:sz w:val="28"/>
          <w:szCs w:val="28"/>
        </w:rPr>
        <w:t>研究分析全市经济形势和发展情况，进行宏观经济的预测、预警；综合协调经济社会发展，协调解决经济运行中的有关重大问题。</w:t>
      </w:r>
      <w:r>
        <w:rPr>
          <w:rFonts w:eastAsia="仿宋_GB2312"/>
          <w:kern w:val="0"/>
          <w:sz w:val="28"/>
          <w:szCs w:val="28"/>
        </w:rPr>
        <w:br/>
      </w:r>
      <w:r>
        <w:rPr>
          <w:rFonts w:hint="eastAsia" w:eastAsia="仿宋_GB2312"/>
          <w:kern w:val="0"/>
          <w:sz w:val="28"/>
          <w:szCs w:val="28"/>
          <w:lang w:val="en-US" w:eastAsia="zh-CN"/>
        </w:rPr>
        <w:t xml:space="preserve">    </w:t>
      </w:r>
      <w:r>
        <w:rPr>
          <w:rFonts w:hint="eastAsia" w:ascii="仿宋_GB2312" w:eastAsia="仿宋_GB2312"/>
          <w:kern w:val="0"/>
          <w:sz w:val="28"/>
          <w:szCs w:val="28"/>
        </w:rPr>
        <w:t>（三）</w:t>
      </w:r>
      <w:r>
        <w:rPr>
          <w:rFonts w:hint="eastAsia" w:eastAsia="仿宋_GB2312"/>
          <w:kern w:val="0"/>
          <w:sz w:val="28"/>
          <w:szCs w:val="28"/>
        </w:rPr>
        <w:t>协调全市经济体制改革的重大问题，提出完善我市社会主义市场经济体制、以改革开放促进发展的建议；</w:t>
      </w:r>
      <w:r>
        <w:rPr>
          <w:rFonts w:hint="eastAsia" w:ascii="仿宋_GB2312" w:hAnsi="楷体" w:eastAsia="仿宋_GB2312"/>
          <w:sz w:val="28"/>
          <w:szCs w:val="28"/>
        </w:rPr>
        <w:t>贯彻落实国家、省有关服务业综合改革发展的方针政策，负责推进我市服务业综合改革试点工作。</w:t>
      </w:r>
    </w:p>
    <w:p>
      <w:pPr>
        <w:spacing w:line="560" w:lineRule="exact"/>
        <w:rPr>
          <w:rFonts w:eastAsia="仿宋_GB2312"/>
          <w:kern w:val="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（四）</w:t>
      </w:r>
      <w:r>
        <w:rPr>
          <w:rFonts w:hint="eastAsia" w:eastAsia="仿宋_GB2312"/>
          <w:kern w:val="0"/>
          <w:sz w:val="28"/>
          <w:szCs w:val="28"/>
        </w:rPr>
        <w:t>贯彻实施国家和省产业政策，协调第一、二、三产业发展的重大问题，衔接平衡相关发展规划，并做好与国民经济和社会发展规划、计划的衔接平衡；推进全市产业结构战略性调整和升级；提出全市国民经济重要产业的发展战略和规划；推进城镇化发展战略，引导和促进全市经济结构合理调整和城乡经济协调发展。</w:t>
      </w:r>
    </w:p>
    <w:p>
      <w:pPr>
        <w:spacing w:line="560" w:lineRule="exact"/>
        <w:rPr>
          <w:rFonts w:eastAsia="仿宋_GB2312"/>
          <w:kern w:val="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（五）</w:t>
      </w:r>
      <w:r>
        <w:rPr>
          <w:rFonts w:hint="eastAsia" w:eastAsia="仿宋_GB2312"/>
          <w:kern w:val="0"/>
          <w:sz w:val="28"/>
          <w:szCs w:val="28"/>
        </w:rPr>
        <w:t>负责社会发展与国民经济发展的政策衔接，参与拟定全市人口和计划生育、科学技术、就业、教育、文化、卫生、体育、广播影视、民政等社会事业发展政策，推进社会事业建设；提出经济与社会协调发展、相互促进的建议和对策，协调社会事业发展和改革中的重大问题。</w:t>
      </w:r>
    </w:p>
    <w:p>
      <w:pPr>
        <w:spacing w:line="560" w:lineRule="exact"/>
        <w:rPr>
          <w:rFonts w:eastAsia="仿宋_GB2312"/>
          <w:kern w:val="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（六）</w:t>
      </w:r>
      <w:r>
        <w:rPr>
          <w:rFonts w:hint="eastAsia" w:eastAsia="仿宋_GB2312"/>
          <w:kern w:val="0"/>
          <w:sz w:val="28"/>
          <w:szCs w:val="28"/>
        </w:rPr>
        <w:t>研究提出全社会固定资产投资总规模和投资结构的调控目标、政策措施；安排财政性建设资金和建设项目计划；提出全市融资的规模、结构、投向及政策建议，指导和吸引社会资金的投入；规划重大项目布局，拟定省市重点项目年度投资计划，负责省、市重点项目推进管理工作；按市级权限审批、核准和备案有关建设项目。</w:t>
      </w:r>
    </w:p>
    <w:p>
      <w:pPr>
        <w:spacing w:line="560" w:lineRule="exact"/>
        <w:rPr>
          <w:rFonts w:eastAsia="仿宋_GB2312"/>
          <w:kern w:val="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（七）</w:t>
      </w:r>
      <w:r>
        <w:rPr>
          <w:rFonts w:hint="eastAsia" w:eastAsia="仿宋_GB2312"/>
          <w:kern w:val="0"/>
          <w:sz w:val="28"/>
          <w:szCs w:val="28"/>
        </w:rPr>
        <w:t>负责组织开展政府投资项目的管理及稽查工作；</w:t>
      </w:r>
      <w:r>
        <w:rPr>
          <w:rFonts w:hint="eastAsia" w:ascii="仿宋_GB2312" w:eastAsia="仿宋_GB2312"/>
          <w:kern w:val="0"/>
          <w:sz w:val="28"/>
          <w:szCs w:val="28"/>
        </w:rPr>
        <w:t>指导和协调政府投资项目的代建管理工作；</w:t>
      </w:r>
      <w:r>
        <w:rPr>
          <w:rFonts w:hint="eastAsia" w:eastAsia="仿宋_GB2312"/>
          <w:kern w:val="0"/>
          <w:sz w:val="28"/>
          <w:szCs w:val="28"/>
        </w:rPr>
        <w:t>承担市政府招投标工作领导小组办公室日常工作，按规定指导和协调全市招投标工作。推进可持续发展战略，统筹协调全市低碳城市建设和应对气候变化等工作；协调生态环境保护、能源资源节约和综合利用、节能减排等重大问题。</w:t>
      </w:r>
    </w:p>
    <w:p>
      <w:pPr>
        <w:spacing w:line="560" w:lineRule="exact"/>
        <w:rPr>
          <w:rFonts w:ascii="仿宋_GB2312" w:eastAsia="仿宋_GB2312"/>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（八）</w:t>
      </w:r>
      <w:r>
        <w:rPr>
          <w:rFonts w:hint="eastAsia" w:ascii="仿宋_GB2312" w:eastAsia="仿宋_GB2312"/>
          <w:sz w:val="28"/>
          <w:szCs w:val="28"/>
        </w:rPr>
        <w:t>负责全市国民经济动员工作，研究国民经济和国防建设之间的关系，制订经济建设与国防建设协调发展的战略和规划，并协调实施；研究制定国民经济动员征用办法和平战转换机制；协调相关重大问题，完成上级国防动员部门赋予我市的相关国民经济动员任务。</w:t>
      </w:r>
    </w:p>
    <w:p>
      <w:pPr>
        <w:spacing w:line="560" w:lineRule="exact"/>
        <w:rPr>
          <w:rFonts w:ascii="仿宋_GB2312" w:hAnsi="仿宋_GB2312" w:eastAsia="仿宋_GB2312" w:cs="仿宋_GB2312"/>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（九）</w:t>
      </w:r>
      <w:r>
        <w:rPr>
          <w:rFonts w:hint="eastAsia" w:ascii="仿宋_GB2312" w:hAnsi="仿宋_GB2312" w:eastAsia="仿宋_GB2312" w:cs="仿宋_GB2312"/>
          <w:sz w:val="28"/>
          <w:szCs w:val="28"/>
        </w:rPr>
        <w:t>提出综合运用价格政策和其他经济政策，以及法律、行政等手段调控市场，保持全市价格总水平基本稳定的建议；分析全市价格走势，监测预测重要商品、服务价格以及价格总水平变动，发布市场价格信息，引导经营者价格行为，研究提出年度价格水平的调控目标和价格调控与监管的建议。</w:t>
      </w:r>
    </w:p>
    <w:p>
      <w:pPr>
        <w:spacing w:line="560" w:lineRule="exact"/>
        <w:rPr>
          <w:rFonts w:ascii="仿宋_GB2312" w:hAnsi="仿宋_GB2312" w:eastAsia="仿宋_GB2312" w:cs="仿宋_GB2312"/>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（十）</w:t>
      </w:r>
      <w:r>
        <w:rPr>
          <w:rFonts w:hint="eastAsia" w:ascii="仿宋_GB2312" w:hAnsi="仿宋_GB2312" w:eastAsia="仿宋_GB2312" w:cs="仿宋_GB2312"/>
          <w:sz w:val="28"/>
          <w:szCs w:val="28"/>
        </w:rPr>
        <w:t>负责全市价格工作的宏观管理和综合平衡；指导、协调和监督有关部门的价格工作，指导行业组织的价格自律工作。</w:t>
      </w:r>
    </w:p>
    <w:p>
      <w:pPr>
        <w:spacing w:line="560" w:lineRule="exact"/>
        <w:rPr>
          <w:rFonts w:ascii="仿宋_GB2312" w:hAnsi="仿宋_GB2312" w:eastAsia="仿宋_GB2312" w:cs="仿宋_GB2312"/>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（十一）</w:t>
      </w:r>
      <w:r>
        <w:rPr>
          <w:rFonts w:hint="eastAsia" w:ascii="仿宋_GB2312" w:hAnsi="仿宋_GB2312" w:eastAsia="仿宋_GB2312" w:cs="仿宋_GB2312"/>
          <w:sz w:val="28"/>
          <w:szCs w:val="28"/>
        </w:rPr>
        <w:t>根据国家有关价格法律法规及省价格主管部门相关作价原则和办法，在法定权限内拟定和管理相关商品价格、服务价格；会同有关部门管理全市行政事业性收费项目；组织纳入政府定价目录的价格听证工作；组织实施中央和省管理的重要商品价格、服务价格和行政事业性收费项目。</w:t>
      </w:r>
    </w:p>
    <w:p>
      <w:pPr>
        <w:spacing w:line="560" w:lineRule="exact"/>
        <w:rPr>
          <w:rFonts w:ascii="仿宋_GB2312" w:hAnsi="仿宋_GB2312" w:eastAsia="仿宋_GB2312" w:cs="仿宋_GB2312"/>
          <w:sz w:val="28"/>
          <w:szCs w:val="28"/>
          <w:u w:val="single"/>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（十二）</w:t>
      </w:r>
      <w:r>
        <w:rPr>
          <w:rFonts w:hint="eastAsia" w:ascii="仿宋_GB2312" w:hAnsi="宋体" w:eastAsia="仿宋_GB2312" w:cs="宋体"/>
          <w:kern w:val="0"/>
          <w:sz w:val="28"/>
          <w:szCs w:val="28"/>
        </w:rPr>
        <w:t>指导各区国民经济、社会发展和经济体制改革工作。</w:t>
      </w:r>
    </w:p>
    <w:p>
      <w:pPr>
        <w:spacing w:line="560" w:lineRule="exact"/>
        <w:rPr>
          <w:rFonts w:ascii="仿宋_GB2312" w:hAnsi="仿宋_GB2312" w:eastAsia="仿宋_GB2312"/>
          <w:color w:val="FF000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（十三）</w:t>
      </w:r>
      <w:r>
        <w:rPr>
          <w:rFonts w:hint="eastAsia" w:ascii="仿宋_GB2312" w:eastAsia="仿宋_GB2312"/>
          <w:color w:val="000000"/>
          <w:kern w:val="0"/>
          <w:sz w:val="28"/>
          <w:szCs w:val="28"/>
        </w:rPr>
        <w:t>承担全市范围内重大价格违法案件的查处工作；</w:t>
      </w:r>
      <w:r>
        <w:rPr>
          <w:rFonts w:hint="eastAsia" w:ascii="仿宋_GB2312" w:hAnsi="仿宋_GB2312" w:eastAsia="仿宋_GB2312"/>
          <w:color w:val="000000"/>
          <w:sz w:val="28"/>
          <w:szCs w:val="28"/>
        </w:rPr>
        <w:t>指导各区开展价格监督检查；综合管理价格举报投诉事项。</w:t>
      </w:r>
    </w:p>
    <w:p>
      <w:pPr>
        <w:spacing w:line="560" w:lineRule="exact"/>
        <w:rPr>
          <w:rFonts w:ascii="仿宋_GB2312" w:eastAsia="仿宋_GB2312"/>
          <w:kern w:val="0"/>
          <w:sz w:val="28"/>
          <w:szCs w:val="28"/>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（十四）</w:t>
      </w:r>
      <w:r>
        <w:rPr>
          <w:rFonts w:hint="eastAsia" w:ascii="仿宋_GB2312" w:hAnsi="宋体" w:eastAsia="仿宋_GB2312" w:cs="宋体"/>
          <w:kern w:val="0"/>
          <w:sz w:val="28"/>
          <w:szCs w:val="28"/>
        </w:rPr>
        <w:t>负责党政机关小汽车定编工作</w:t>
      </w:r>
      <w:r>
        <w:rPr>
          <w:rFonts w:hint="eastAsia" w:ascii="仿宋_GB2312" w:eastAsia="仿宋_GB2312"/>
          <w:kern w:val="0"/>
          <w:sz w:val="28"/>
          <w:szCs w:val="28"/>
        </w:rPr>
        <w:t>。</w:t>
      </w:r>
    </w:p>
    <w:p>
      <w:pPr>
        <w:pStyle w:val="7"/>
        <w:numPr>
          <w:ilvl w:val="0"/>
          <w:numId w:val="7"/>
        </w:numPr>
        <w:ind w:firstLine="560"/>
        <w:jc w:val="left"/>
        <w:rPr>
          <w:rFonts w:ascii="仿宋_GB2312" w:eastAsia="仿宋_GB2312"/>
          <w:kern w:val="0"/>
          <w:sz w:val="28"/>
          <w:szCs w:val="28"/>
        </w:rPr>
      </w:pPr>
      <w:r>
        <w:rPr>
          <w:rFonts w:hint="eastAsia" w:ascii="仿宋_GB2312" w:eastAsia="仿宋_GB2312"/>
          <w:kern w:val="0"/>
          <w:sz w:val="28"/>
          <w:szCs w:val="28"/>
        </w:rPr>
        <w:t>承办市政府和上级主管部门交办的其他事项。</w:t>
      </w:r>
    </w:p>
    <w:p>
      <w:pPr>
        <w:pStyle w:val="7"/>
        <w:ind w:firstLine="0" w:firstLineChars="0"/>
        <w:jc w:val="left"/>
        <w:rPr>
          <w:rFonts w:ascii="仿宋_GB2312" w:hAnsi="黑体" w:eastAsia="仿宋_GB2312" w:cs="仿宋_GB2312"/>
          <w:sz w:val="32"/>
          <w:szCs w:val="32"/>
        </w:rPr>
      </w:pPr>
      <w:r>
        <w:rPr>
          <w:rFonts w:hint="eastAsia" w:ascii="仿宋_GB2312" w:eastAsia="仿宋_GB2312"/>
          <w:kern w:val="0"/>
          <w:sz w:val="28"/>
          <w:szCs w:val="28"/>
          <w:lang w:val="en-US" w:eastAsia="zh-CN"/>
        </w:rPr>
        <w:t xml:space="preserve">     </w:t>
      </w:r>
      <w:r>
        <w:rPr>
          <w:rFonts w:hint="eastAsia" w:ascii="仿宋_GB2312" w:eastAsia="仿宋_GB2312"/>
          <w:kern w:val="0"/>
          <w:sz w:val="28"/>
          <w:szCs w:val="28"/>
        </w:rPr>
        <w:t>根据上述职责，我委内设</w:t>
      </w:r>
      <w:r>
        <w:rPr>
          <w:rFonts w:ascii="仿宋_GB2312" w:eastAsia="仿宋_GB2312"/>
          <w:kern w:val="0"/>
          <w:sz w:val="28"/>
          <w:szCs w:val="28"/>
        </w:rPr>
        <w:t>1</w:t>
      </w:r>
      <w:r>
        <w:rPr>
          <w:rFonts w:hint="eastAsia" w:ascii="仿宋_GB2312" w:eastAsia="仿宋_GB2312"/>
          <w:kern w:val="0"/>
          <w:sz w:val="28"/>
          <w:szCs w:val="28"/>
        </w:rPr>
        <w:t>个副处级和</w:t>
      </w:r>
      <w:r>
        <w:rPr>
          <w:rFonts w:ascii="仿宋_GB2312" w:eastAsia="仿宋_GB2312"/>
          <w:kern w:val="0"/>
          <w:sz w:val="28"/>
          <w:szCs w:val="28"/>
        </w:rPr>
        <w:t>12</w:t>
      </w:r>
      <w:r>
        <w:rPr>
          <w:rFonts w:hint="eastAsia" w:ascii="仿宋_GB2312" w:eastAsia="仿宋_GB2312"/>
          <w:kern w:val="0"/>
          <w:sz w:val="28"/>
          <w:szCs w:val="28"/>
        </w:rPr>
        <w:t>个科级职能机构，分别为：办公室、综合科、固定资产投资科、重点项目科、产业协调发展科、招投标管理和概算审核科、经济动员科、行政审批办公室、体制改革和服务业发展科（市服务业综合改革试点办公室）、综合法规科（价格举报中心）、价格管理科、收费管理科。</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机构设置情况</w:t>
      </w:r>
    </w:p>
    <w:p>
      <w:pPr>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根据上述职责，我委内设1个副处级和12人科级职能机构，分别为：办公室，综合科，固定资产投资科，重点项目科，产业协调发展科，招投标管理和概算审核科，经济动员科，行政审批办公室，体制改革和服务业发展科（市服务业综合改革试点工作领导小组办公室），综合法规科（价格举报中心），价格管理科，收费管理科。</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纳入三亚市发展和改革委员会（部门）2019年部门预算编制范围的二级预算单位包括：</w:t>
      </w:r>
    </w:p>
    <w:p>
      <w:pPr>
        <w:pStyle w:val="8"/>
        <w:numPr>
          <w:ilvl w:val="0"/>
          <w:numId w:val="8"/>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三亚市投资服务中心</w:t>
      </w:r>
    </w:p>
    <w:p>
      <w:pPr>
        <w:pStyle w:val="8"/>
        <w:numPr>
          <w:ilvl w:val="0"/>
          <w:numId w:val="8"/>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三亚市菜篮子工程管理服务中心</w:t>
      </w:r>
    </w:p>
    <w:p>
      <w:pPr>
        <w:numPr>
          <w:ilvl w:val="0"/>
          <w:numId w:val="8"/>
        </w:numPr>
        <w:jc w:val="left"/>
        <w:rPr>
          <w:rFonts w:ascii="仿宋_GB2312" w:hAnsi="黑体" w:eastAsia="仿宋_GB2312" w:cs="仿宋_GB2312"/>
          <w:sz w:val="32"/>
          <w:szCs w:val="32"/>
        </w:rPr>
      </w:pPr>
      <w:r>
        <w:rPr>
          <w:rFonts w:hint="eastAsia" w:ascii="仿宋_GB2312" w:hAnsi="黑体" w:eastAsia="仿宋_GB2312" w:cs="仿宋_GB2312"/>
          <w:sz w:val="32"/>
          <w:szCs w:val="32"/>
        </w:rPr>
        <w:t>三亚市价格监测中心</w:t>
      </w:r>
    </w:p>
    <w:p>
      <w:pPr>
        <w:numPr>
          <w:ilvl w:val="0"/>
          <w:numId w:val="8"/>
        </w:numPr>
        <w:jc w:val="left"/>
        <w:rPr>
          <w:rFonts w:ascii="仿宋_GB2312" w:hAnsi="黑体" w:eastAsia="仿宋_GB2312" w:cs="仿宋_GB2312"/>
          <w:sz w:val="32"/>
          <w:szCs w:val="32"/>
        </w:rPr>
      </w:pPr>
      <w:r>
        <w:rPr>
          <w:rFonts w:hint="eastAsia" w:ascii="仿宋_GB2312" w:hAnsi="黑体" w:eastAsia="仿宋_GB2312" w:cs="仿宋_GB2312"/>
          <w:sz w:val="32"/>
          <w:szCs w:val="32"/>
        </w:rPr>
        <w:t>三亚市价格认证中心</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三亚市发展和改革委员会</w:t>
      </w:r>
      <w:r>
        <w:rPr>
          <w:rFonts w:hint="eastAsia" w:ascii="黑体" w:hAnsi="黑体" w:eastAsia="黑体"/>
          <w:sz w:val="32"/>
          <w:szCs w:val="32"/>
        </w:rPr>
        <w:t>（部门）2019年部门预算表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left"/>
        <w:rPr>
          <w:rFonts w:ascii="黑体" w:hAnsi="黑体" w:eastAsia="黑体"/>
          <w:sz w:val="32"/>
          <w:szCs w:val="32"/>
        </w:rPr>
      </w:pPr>
      <w:r>
        <w:rPr>
          <w:rFonts w:hint="eastAsia" w:ascii="黑体" w:hAnsi="黑体" w:eastAsia="黑体"/>
          <w:sz w:val="32"/>
          <w:szCs w:val="32"/>
        </w:rPr>
        <w:t>第三部分   三亚市发展和改革委员会（部门）2019年部门预算情况说明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一、关于三亚市发展和改革委员会（部门）2019年财政拨款收支预算情况的总体说明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发展和改革委员会（部门）2019年财政拨款收支总预算4683.37万元。其中，收入总计4683.37万元，包括一般公共预算本年收入4683.37万元。支出总计4683.37万元，包括一般公共服务支出4164.17万元、社会保障和就业支出233.7万元、卫生健康支出196.48万元、住房保障支出89.02万元。</w:t>
      </w:r>
    </w:p>
    <w:p>
      <w:pPr>
        <w:ind w:firstLine="640"/>
        <w:jc w:val="left"/>
        <w:rPr>
          <w:rFonts w:ascii="黑体" w:hAnsi="黑体" w:eastAsia="黑体"/>
          <w:sz w:val="32"/>
          <w:szCs w:val="32"/>
        </w:rPr>
      </w:pPr>
      <w:r>
        <w:rPr>
          <w:rFonts w:hint="eastAsia" w:ascii="黑体" w:hAnsi="黑体" w:eastAsia="黑体"/>
          <w:sz w:val="32"/>
          <w:szCs w:val="32"/>
        </w:rPr>
        <w:t>二、关于三亚市发展和改革委员会（部门）2019年一般公共预算当年拨款情况说明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三亚市发展和改革委员会（部门）2019年一般公共预算当年拨款4683.37万元，比上年预算数</w:t>
      </w:r>
      <w:r>
        <w:rPr>
          <w:rFonts w:hint="eastAsia" w:ascii="仿宋_GB2312" w:hAnsi="黑体" w:eastAsia="仿宋_GB2312" w:cs="仿宋_GB2312"/>
          <w:sz w:val="32"/>
          <w:szCs w:val="32"/>
        </w:rPr>
        <w:t>增加574.19</w:t>
      </w:r>
      <w:r>
        <w:rPr>
          <w:rFonts w:hint="eastAsia" w:ascii="仿宋_GB2312" w:hAnsi="黑体" w:eastAsia="仿宋_GB2312"/>
          <w:sz w:val="32"/>
          <w:szCs w:val="32"/>
        </w:rPr>
        <w:t>万元，主要是追加项目经费</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一般公共服务（类）支出4164.17</w:t>
      </w:r>
      <w:r>
        <w:rPr>
          <w:rFonts w:hint="eastAsia" w:ascii="仿宋_GB2312" w:hAnsi="黑体" w:eastAsia="仿宋_GB2312"/>
          <w:sz w:val="32"/>
          <w:szCs w:val="32"/>
        </w:rPr>
        <w:t>万元，占88.91%；社会保障和就业（类）支出233.7万元，占4.99%；卫生健康（类）支出196.48万元，占4.20%；住房保障（类）支出89.02万元，占1.90%。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1.一般公共服务（类）发展与改革事务（款）行政运行（项）2019</w:t>
      </w:r>
      <w:r>
        <w:rPr>
          <w:rFonts w:hint="eastAsia" w:ascii="仿宋_GB2312" w:hAnsi="黑体" w:eastAsia="仿宋_GB2312"/>
          <w:sz w:val="32"/>
          <w:szCs w:val="32"/>
        </w:rPr>
        <w:t>年预算数为539.58万元，比上年预算数减少了173.43万元，主要是人员减少。</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2.</w:t>
      </w:r>
      <w:r>
        <w:rPr>
          <w:rFonts w:hint="eastAsia" w:ascii="仿宋_GB2312" w:hAnsi="黑体" w:eastAsia="仿宋_GB2312" w:cs="仿宋_GB2312"/>
          <w:color w:val="auto"/>
          <w:sz w:val="32"/>
          <w:szCs w:val="32"/>
          <w:highlight w:val="none"/>
        </w:rPr>
        <w:t xml:space="preserve"> 一般公共服务（类）发展与改革事务（款）一般行政管理事务（项）2019</w:t>
      </w:r>
      <w:r>
        <w:rPr>
          <w:rFonts w:hint="eastAsia" w:ascii="仿宋_GB2312" w:hAnsi="黑体" w:eastAsia="仿宋_GB2312"/>
          <w:color w:val="auto"/>
          <w:sz w:val="32"/>
          <w:szCs w:val="32"/>
          <w:highlight w:val="none"/>
        </w:rPr>
        <w:t>年预算数为739.7万元，比上年预算数</w:t>
      </w:r>
      <w:r>
        <w:rPr>
          <w:rFonts w:hint="eastAsia" w:ascii="仿宋_GB2312" w:hAnsi="黑体" w:eastAsia="仿宋_GB2312" w:cs="仿宋_GB2312"/>
          <w:color w:val="auto"/>
          <w:sz w:val="32"/>
          <w:szCs w:val="32"/>
          <w:highlight w:val="none"/>
        </w:rPr>
        <w:t>减少1116.35</w:t>
      </w:r>
      <w:r>
        <w:rPr>
          <w:rFonts w:hint="eastAsia" w:ascii="仿宋_GB2312" w:hAnsi="黑体" w:eastAsia="仿宋_GB2312"/>
          <w:color w:val="auto"/>
          <w:sz w:val="32"/>
          <w:szCs w:val="32"/>
          <w:highlight w:val="none"/>
        </w:rPr>
        <w:t>万元，主要是财政调整支出功能分类，将建设项目评审及管理经费资金安排到</w:t>
      </w:r>
      <w:r>
        <w:rPr>
          <w:rFonts w:hint="eastAsia" w:ascii="仿宋_GB2312" w:hAnsi="黑体" w:eastAsia="仿宋_GB2312" w:cs="仿宋_GB2312"/>
          <w:color w:val="auto"/>
          <w:sz w:val="32"/>
          <w:szCs w:val="32"/>
          <w:highlight w:val="none"/>
        </w:rPr>
        <w:t>其他发展与改革事务支出（项）</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3. </w:t>
      </w:r>
      <w:r>
        <w:rPr>
          <w:rFonts w:hint="eastAsia" w:ascii="仿宋_GB2312" w:hAnsi="黑体" w:eastAsia="仿宋_GB2312" w:cs="仿宋_GB2312"/>
          <w:sz w:val="32"/>
          <w:szCs w:val="32"/>
        </w:rPr>
        <w:t>一般公共服务（类）发展与改革事务（款）物价管理（项）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w:t>
      </w:r>
      <w:r>
        <w:rPr>
          <w:rFonts w:ascii="仿宋_GB2312" w:hAnsi="黑体" w:eastAsia="仿宋_GB2312"/>
          <w:sz w:val="32"/>
          <w:szCs w:val="32"/>
        </w:rPr>
        <w:t>6</w:t>
      </w:r>
      <w:r>
        <w:rPr>
          <w:rFonts w:hint="eastAsia" w:ascii="仿宋_GB2312" w:hAnsi="黑体" w:eastAsia="仿宋_GB2312"/>
          <w:sz w:val="32"/>
          <w:szCs w:val="32"/>
        </w:rPr>
        <w:t>77.02万元，比上年预算数增加33</w:t>
      </w:r>
      <w:r>
        <w:rPr>
          <w:rFonts w:ascii="仿宋_GB2312" w:hAnsi="黑体" w:eastAsia="仿宋_GB2312"/>
          <w:sz w:val="32"/>
          <w:szCs w:val="32"/>
        </w:rPr>
        <w:t>.</w:t>
      </w:r>
      <w:r>
        <w:rPr>
          <w:rFonts w:hint="eastAsia" w:ascii="仿宋_GB2312" w:hAnsi="黑体" w:eastAsia="仿宋_GB2312"/>
          <w:sz w:val="32"/>
          <w:szCs w:val="32"/>
        </w:rPr>
        <w:t>92万元，主要是价格认证中心、价格监测中心、菜篮子服务中心经费增加。</w:t>
      </w:r>
    </w:p>
    <w:p>
      <w:pPr>
        <w:ind w:firstLine="640" w:firstLineChars="200"/>
        <w:rPr>
          <w:rFonts w:ascii="仿宋_GB2312" w:hAnsi="黑体" w:eastAsia="仿宋_GB2312"/>
          <w:sz w:val="32"/>
          <w:szCs w:val="32"/>
        </w:rPr>
      </w:pPr>
      <w:r>
        <w:rPr>
          <w:rFonts w:ascii="仿宋_GB2312" w:hAnsi="黑体" w:eastAsia="仿宋_GB2312"/>
          <w:sz w:val="32"/>
          <w:szCs w:val="32"/>
        </w:rPr>
        <w:t>4.</w:t>
      </w:r>
      <w:r>
        <w:rPr>
          <w:rFonts w:hint="eastAsia" w:ascii="仿宋_GB2312" w:hAnsi="黑体" w:eastAsia="仿宋_GB2312" w:cs="仿宋_GB2312"/>
          <w:sz w:val="32"/>
          <w:szCs w:val="32"/>
        </w:rPr>
        <w:t>一般公共服务（类）发展与改革事务（款）事业运行（项）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年预算数为423.87万元，比上年预算数增加32.23万元，主要是事业单位人员增加。</w:t>
      </w:r>
    </w:p>
    <w:p>
      <w:pPr>
        <w:ind w:firstLine="640" w:firstLineChars="200"/>
        <w:rPr>
          <w:rFonts w:ascii="仿宋_GB2312" w:hAnsi="黑体" w:eastAsia="仿宋_GB2312"/>
          <w:sz w:val="32"/>
          <w:szCs w:val="32"/>
          <w:highlight w:val="none"/>
        </w:rPr>
      </w:pPr>
      <w:r>
        <w:rPr>
          <w:rFonts w:ascii="仿宋_GB2312" w:hAnsi="黑体" w:eastAsia="仿宋_GB2312"/>
          <w:sz w:val="32"/>
          <w:szCs w:val="32"/>
          <w:highlight w:val="none"/>
        </w:rPr>
        <w:t>5.</w:t>
      </w:r>
      <w:r>
        <w:rPr>
          <w:rFonts w:hint="eastAsia" w:ascii="仿宋_GB2312" w:hAnsi="黑体" w:eastAsia="仿宋_GB2312" w:cs="仿宋_GB2312"/>
          <w:sz w:val="32"/>
          <w:szCs w:val="32"/>
          <w:highlight w:val="none"/>
        </w:rPr>
        <w:t>一般公共服务（类）发展与改革事务（款）其他发展与改革事务支出（项）</w:t>
      </w:r>
      <w:r>
        <w:rPr>
          <w:rFonts w:ascii="仿宋_GB2312" w:hAnsi="黑体" w:eastAsia="仿宋_GB2312" w:cs="仿宋_GB2312"/>
          <w:sz w:val="32"/>
          <w:szCs w:val="32"/>
          <w:highlight w:val="none"/>
        </w:rPr>
        <w:t>201</w:t>
      </w:r>
      <w:r>
        <w:rPr>
          <w:rFonts w:hint="eastAsia" w:ascii="仿宋_GB2312" w:hAnsi="黑体" w:eastAsia="仿宋_GB2312" w:cs="仿宋_GB2312"/>
          <w:sz w:val="32"/>
          <w:szCs w:val="32"/>
          <w:highlight w:val="none"/>
        </w:rPr>
        <w:t>9</w:t>
      </w:r>
      <w:r>
        <w:rPr>
          <w:rFonts w:hint="eastAsia" w:ascii="仿宋_GB2312" w:hAnsi="黑体" w:eastAsia="仿宋_GB2312"/>
          <w:sz w:val="32"/>
          <w:szCs w:val="32"/>
          <w:highlight w:val="none"/>
        </w:rPr>
        <w:t>年预算数为1784万元，比上年预算数</w:t>
      </w:r>
      <w:r>
        <w:rPr>
          <w:rFonts w:hint="eastAsia" w:ascii="仿宋_GB2312" w:hAnsi="黑体" w:eastAsia="仿宋_GB2312" w:cs="仿宋_GB2312"/>
          <w:sz w:val="32"/>
          <w:szCs w:val="32"/>
          <w:highlight w:val="none"/>
        </w:rPr>
        <w:t>增加1760</w:t>
      </w:r>
      <w:r>
        <w:rPr>
          <w:rFonts w:hint="eastAsia" w:ascii="仿宋_GB2312" w:hAnsi="黑体" w:eastAsia="仿宋_GB2312"/>
          <w:sz w:val="32"/>
          <w:szCs w:val="32"/>
          <w:highlight w:val="none"/>
        </w:rPr>
        <w:t>万元，主要是建设项目评审及管理经费等安排在这个功能分类里。</w:t>
      </w:r>
    </w:p>
    <w:p>
      <w:pPr>
        <w:ind w:firstLine="640" w:firstLineChars="200"/>
        <w:rPr>
          <w:rFonts w:ascii="仿宋_GB2312" w:hAnsi="黑体" w:eastAsia="仿宋_GB2312"/>
          <w:sz w:val="32"/>
          <w:szCs w:val="32"/>
        </w:rPr>
      </w:pPr>
      <w:r>
        <w:rPr>
          <w:rFonts w:ascii="仿宋_GB2312" w:hAnsi="黑体" w:eastAsia="仿宋_GB2312"/>
          <w:sz w:val="32"/>
          <w:szCs w:val="32"/>
        </w:rPr>
        <w:t>6.</w:t>
      </w:r>
      <w:r>
        <w:rPr>
          <w:rFonts w:hint="eastAsia" w:ascii="仿宋_GB2312" w:hAnsi="黑体" w:eastAsia="仿宋_GB2312"/>
          <w:sz w:val="32"/>
          <w:szCs w:val="32"/>
        </w:rPr>
        <w:t>社会保障和就业支出（类）行政事业单位离退休</w:t>
      </w:r>
      <w:r>
        <w:rPr>
          <w:rFonts w:hint="eastAsia" w:ascii="仿宋_GB2312" w:hAnsi="黑体" w:eastAsia="仿宋_GB2312" w:cs="仿宋_GB2312"/>
          <w:sz w:val="32"/>
          <w:szCs w:val="32"/>
        </w:rPr>
        <w:t>（款）归口管理的行政单位离退休（项）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w:t>
      </w:r>
      <w:r>
        <w:rPr>
          <w:rFonts w:ascii="仿宋_GB2312" w:hAnsi="黑体" w:eastAsia="仿宋_GB2312"/>
          <w:sz w:val="32"/>
          <w:szCs w:val="32"/>
        </w:rPr>
        <w:t>1</w:t>
      </w:r>
      <w:r>
        <w:rPr>
          <w:rFonts w:hint="eastAsia" w:ascii="仿宋_GB2312" w:hAnsi="黑体" w:eastAsia="仿宋_GB2312"/>
          <w:sz w:val="32"/>
          <w:szCs w:val="32"/>
        </w:rPr>
        <w:t>3</w:t>
      </w:r>
      <w:r>
        <w:rPr>
          <w:rFonts w:ascii="仿宋_GB2312" w:hAnsi="黑体" w:eastAsia="仿宋_GB2312"/>
          <w:sz w:val="32"/>
          <w:szCs w:val="32"/>
        </w:rPr>
        <w:t>.</w:t>
      </w:r>
      <w:r>
        <w:rPr>
          <w:rFonts w:hint="eastAsia" w:ascii="仿宋_GB2312" w:hAnsi="黑体" w:eastAsia="仿宋_GB2312"/>
          <w:sz w:val="32"/>
          <w:szCs w:val="32"/>
        </w:rPr>
        <w:t>16万元，比上年预算数增加0.45万元，主要是离退休人员津贴补贴增加。</w:t>
      </w:r>
    </w:p>
    <w:p>
      <w:pPr>
        <w:ind w:firstLine="640" w:firstLineChars="200"/>
        <w:rPr>
          <w:rFonts w:ascii="仿宋_GB2312" w:hAnsi="黑体" w:eastAsia="仿宋_GB2312"/>
          <w:sz w:val="32"/>
          <w:szCs w:val="32"/>
        </w:rPr>
      </w:pPr>
      <w:r>
        <w:rPr>
          <w:rFonts w:ascii="仿宋_GB2312" w:hAnsi="黑体" w:eastAsia="仿宋_GB2312"/>
          <w:sz w:val="32"/>
          <w:szCs w:val="32"/>
        </w:rPr>
        <w:t>7.</w:t>
      </w:r>
      <w:r>
        <w:rPr>
          <w:rFonts w:hint="eastAsia" w:ascii="仿宋_GB2312" w:hAnsi="黑体" w:eastAsia="仿宋_GB2312"/>
          <w:sz w:val="32"/>
          <w:szCs w:val="32"/>
        </w:rPr>
        <w:t>社会保障和就业支出（类）行政事业单位离退休</w:t>
      </w:r>
      <w:r>
        <w:rPr>
          <w:rFonts w:hint="eastAsia" w:ascii="仿宋_GB2312" w:hAnsi="黑体" w:eastAsia="仿宋_GB2312" w:cs="仿宋_GB2312"/>
          <w:sz w:val="32"/>
          <w:szCs w:val="32"/>
        </w:rPr>
        <w:t>（款）机关事业单位基本养老保险缴费支出（项）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w:t>
      </w:r>
      <w:r>
        <w:rPr>
          <w:rFonts w:ascii="仿宋_GB2312" w:hAnsi="黑体" w:eastAsia="仿宋_GB2312"/>
          <w:sz w:val="32"/>
          <w:szCs w:val="32"/>
        </w:rPr>
        <w:t>2</w:t>
      </w:r>
      <w:r>
        <w:rPr>
          <w:rFonts w:hint="eastAsia" w:ascii="仿宋_GB2312" w:hAnsi="黑体" w:eastAsia="仿宋_GB2312"/>
          <w:sz w:val="32"/>
          <w:szCs w:val="32"/>
        </w:rPr>
        <w:t>20</w:t>
      </w:r>
      <w:r>
        <w:rPr>
          <w:rFonts w:ascii="仿宋_GB2312" w:hAnsi="黑体" w:eastAsia="仿宋_GB2312"/>
          <w:sz w:val="32"/>
          <w:szCs w:val="32"/>
        </w:rPr>
        <w:t>.00</w:t>
      </w:r>
      <w:r>
        <w:rPr>
          <w:rFonts w:hint="eastAsia" w:ascii="仿宋_GB2312" w:hAnsi="黑体" w:eastAsia="仿宋_GB2312"/>
          <w:sz w:val="32"/>
          <w:szCs w:val="32"/>
        </w:rPr>
        <w:t>万元，比上年预算数增加11万元，主要是人员增加。</w:t>
      </w:r>
    </w:p>
    <w:p>
      <w:pPr>
        <w:pStyle w:val="6"/>
        <w:jc w:val="left"/>
        <w:rPr>
          <w:rFonts w:hint="eastAsia" w:ascii="仿宋_GB2312" w:hAnsi="仿宋_GB2312" w:eastAsia="仿宋_GB2312" w:cs="仿宋_GB2312"/>
          <w:sz w:val="32"/>
          <w:szCs w:val="32"/>
          <w:highlight w:val="none"/>
          <w:lang w:eastAsia="zh-CN"/>
        </w:rPr>
      </w:pPr>
      <w:r>
        <w:rPr>
          <w:rFonts w:ascii="仿宋_GB2312" w:hAnsi="黑体" w:eastAsia="仿宋_GB2312"/>
          <w:sz w:val="32"/>
          <w:szCs w:val="32"/>
        </w:rPr>
        <w:t>8.</w:t>
      </w:r>
      <w:r>
        <w:rPr>
          <w:rFonts w:hint="eastAsia" w:ascii="仿宋_GB2312" w:hAnsi="黑体" w:eastAsia="仿宋_GB2312"/>
          <w:sz w:val="32"/>
          <w:szCs w:val="32"/>
        </w:rPr>
        <w:t>社会保障和就业支出（类）社会福利（款）其他社会福利（项）支出0.3万元。</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增加0.3</w:t>
      </w:r>
      <w:r>
        <w:rPr>
          <w:rFonts w:hint="eastAsia" w:ascii="仿宋_GB2312" w:hAnsi="宋体" w:eastAsia="仿宋_GB2312" w:cs="黑体"/>
          <w:kern w:val="2"/>
          <w:sz w:val="32"/>
          <w:szCs w:val="32"/>
          <w:highlight w:val="none"/>
          <w:lang w:val="en-US" w:eastAsia="zh-CN" w:bidi="ar-SA"/>
        </w:rPr>
        <w:t>万元，主要是调整支出功能科目。</w:t>
      </w:r>
    </w:p>
    <w:p>
      <w:pPr>
        <w:pStyle w:val="6"/>
        <w:jc w:val="left"/>
        <w:rPr>
          <w:rFonts w:hint="eastAsia" w:ascii="仿宋_GB2312" w:hAnsi="仿宋_GB2312" w:eastAsia="仿宋_GB2312" w:cs="仿宋_GB2312"/>
          <w:sz w:val="32"/>
          <w:szCs w:val="32"/>
          <w:highlight w:val="none"/>
          <w:lang w:eastAsia="zh-CN"/>
        </w:rPr>
      </w:pPr>
      <w:r>
        <w:rPr>
          <w:rFonts w:hint="eastAsia" w:ascii="仿宋_GB2312" w:hAnsi="黑体" w:eastAsia="仿宋_GB2312"/>
          <w:sz w:val="32"/>
          <w:szCs w:val="32"/>
          <w:highlight w:val="none"/>
          <w:lang w:val="en-US" w:eastAsia="zh-CN"/>
        </w:rPr>
        <w:t>9.</w:t>
      </w:r>
      <w:r>
        <w:rPr>
          <w:rFonts w:hint="eastAsia" w:ascii="仿宋_GB2312" w:hAnsi="黑体" w:eastAsia="仿宋_GB2312"/>
          <w:sz w:val="32"/>
          <w:szCs w:val="32"/>
          <w:highlight w:val="none"/>
        </w:rPr>
        <w:t>社会保障和就业支出（类）其他社会保障和就业支出（款）其他社会保障和就业支出（项）支出0.</w:t>
      </w:r>
      <w:r>
        <w:rPr>
          <w:rFonts w:hint="eastAsia" w:ascii="仿宋_GB2312" w:hAnsi="黑体" w:eastAsia="仿宋_GB2312"/>
          <w:sz w:val="32"/>
          <w:szCs w:val="32"/>
          <w:highlight w:val="none"/>
          <w:lang w:val="en-US" w:eastAsia="zh-CN"/>
        </w:rPr>
        <w:t>24</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宋体" w:eastAsia="仿宋_GB2312" w:cs="黑体"/>
          <w:kern w:val="2"/>
          <w:sz w:val="32"/>
          <w:szCs w:val="32"/>
          <w:highlight w:val="none"/>
          <w:lang w:val="en-US" w:eastAsia="zh-CN" w:bidi="ar-SA"/>
        </w:rPr>
        <w:t>比上年预算数</w:t>
      </w:r>
      <w:r>
        <w:rPr>
          <w:rFonts w:hint="eastAsia" w:ascii="仿宋_GB2312" w:hAnsi="宋体" w:eastAsia="仿宋_GB2312" w:cs="仿宋_GB2312"/>
          <w:kern w:val="2"/>
          <w:sz w:val="32"/>
          <w:szCs w:val="32"/>
          <w:highlight w:val="none"/>
          <w:lang w:val="en-US" w:eastAsia="zh-CN" w:bidi="ar-SA"/>
        </w:rPr>
        <w:t>增加0.24</w:t>
      </w:r>
      <w:r>
        <w:rPr>
          <w:rFonts w:hint="eastAsia" w:ascii="仿宋_GB2312" w:hAnsi="宋体" w:eastAsia="仿宋_GB2312" w:cs="黑体"/>
          <w:kern w:val="2"/>
          <w:sz w:val="32"/>
          <w:szCs w:val="32"/>
          <w:highlight w:val="none"/>
          <w:lang w:val="en-US" w:eastAsia="zh-CN" w:bidi="ar-SA"/>
        </w:rPr>
        <w:t>万元，主要是调整支出功能科目。</w:t>
      </w:r>
    </w:p>
    <w:p>
      <w:pPr>
        <w:pStyle w:val="6"/>
        <w:jc w:val="left"/>
        <w:rPr>
          <w:rFonts w:ascii="仿宋_GB2312" w:hAnsi="黑体" w:eastAsia="仿宋_GB2312"/>
          <w:sz w:val="32"/>
          <w:szCs w:val="32"/>
          <w:highlight w:val="none"/>
        </w:rPr>
      </w:pPr>
      <w:r>
        <w:rPr>
          <w:rFonts w:hint="eastAsia" w:ascii="仿宋_GB2312" w:hAnsi="黑体" w:eastAsia="仿宋_GB2312"/>
          <w:sz w:val="32"/>
          <w:szCs w:val="32"/>
          <w:lang w:val="en-US" w:eastAsia="zh-CN"/>
        </w:rPr>
        <w:t>10</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卫生健康支出（类）行政事业单位医疗（款）行政单位医疗（项）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w:t>
      </w:r>
      <w:r>
        <w:rPr>
          <w:rFonts w:hint="eastAsia" w:ascii="仿宋_GB2312" w:hAnsi="黑体" w:eastAsia="仿宋_GB2312"/>
          <w:sz w:val="32"/>
          <w:szCs w:val="32"/>
          <w:highlight w:val="none"/>
        </w:rPr>
        <w:t>18.2</w:t>
      </w: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万元，比上年预算数减少</w:t>
      </w:r>
      <w:r>
        <w:rPr>
          <w:rFonts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14</w:t>
      </w:r>
      <w:r>
        <w:rPr>
          <w:rFonts w:hint="eastAsia" w:ascii="仿宋_GB2312" w:hAnsi="黑体" w:eastAsia="仿宋_GB2312"/>
          <w:sz w:val="32"/>
          <w:szCs w:val="32"/>
          <w:highlight w:val="none"/>
        </w:rPr>
        <w:t>万元，主要是行政人员减少。</w:t>
      </w:r>
    </w:p>
    <w:p>
      <w:pPr>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lang w:val="en-US" w:eastAsia="zh-CN"/>
        </w:rPr>
        <w:t>1</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卫生健康支出（类）行政事业单位医疗（款）事业单位医疗（项）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年预算数为11.22万元，比上年预算数增加0.27万元，主要是事业人员增加。</w:t>
      </w:r>
    </w:p>
    <w:p>
      <w:pPr>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lang w:val="en-US" w:eastAsia="zh-CN"/>
        </w:rPr>
        <w:t>2</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卫生健康支出（类）行政事业单位医疗（款）公务员医疗（项）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年预算数为167万元，比上年预算数增加</w:t>
      </w:r>
      <w:r>
        <w:rPr>
          <w:rFonts w:ascii="仿宋_GB2312" w:hAnsi="黑体" w:eastAsia="仿宋_GB2312"/>
          <w:sz w:val="32"/>
          <w:szCs w:val="32"/>
        </w:rPr>
        <w:t>2</w:t>
      </w:r>
      <w:r>
        <w:rPr>
          <w:rFonts w:hint="eastAsia" w:ascii="仿宋_GB2312" w:hAnsi="黑体" w:eastAsia="仿宋_GB2312"/>
          <w:sz w:val="32"/>
          <w:szCs w:val="32"/>
        </w:rPr>
        <w:t>万元，工资标准调整。</w:t>
      </w:r>
    </w:p>
    <w:p>
      <w:pPr>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hint="eastAsia" w:ascii="仿宋_GB2312" w:hAnsi="黑体" w:eastAsia="仿宋_GB2312"/>
          <w:sz w:val="32"/>
          <w:szCs w:val="32"/>
        </w:rPr>
        <w:t>住房保障支出（类）住房改革支出（款）住房公积金（项）</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hint="eastAsia" w:ascii="仿宋_GB2312" w:hAnsi="黑体" w:eastAsia="仿宋_GB2312"/>
          <w:sz w:val="32"/>
          <w:szCs w:val="32"/>
        </w:rPr>
        <w:t>年预算数为89.02万元，比上年预算数减少16.88万元，主要是在职人员减少。</w:t>
      </w:r>
    </w:p>
    <w:p>
      <w:pPr>
        <w:ind w:firstLine="640"/>
        <w:rPr>
          <w:rFonts w:ascii="黑体" w:hAnsi="黑体" w:eastAsia="黑体"/>
          <w:sz w:val="32"/>
          <w:szCs w:val="32"/>
        </w:rPr>
      </w:pPr>
      <w:r>
        <w:rPr>
          <w:rFonts w:hint="eastAsia" w:ascii="黑体" w:hAnsi="黑体" w:eastAsia="黑体"/>
          <w:sz w:val="32"/>
          <w:szCs w:val="32"/>
        </w:rPr>
        <w:t>三、关于三亚市发展和改革委员会（部门）2019年一般公共预算基本支出情况说明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三亚市发展和改革委员会（部门）2019年一般公共预算基本支出为1420.05万元，其中：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人员经费1292.62万元，主要包括：基本工资、津贴补贴、奖金、绩效工资、机关事业单位基本养老保险缴费、城镇职工基本医疗保险缴费、公务员医疗补助缴费、其他社会保险缴费、住房公积金。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公用经费127.43万元，主要包括：办公费、邮电费、会议费、培训费、工会经费、福利费、公务用车运行维护费、其他交通费用、其他商品和服务支出</w:t>
      </w:r>
      <w:r>
        <w:rPr>
          <w:rFonts w:hint="eastAsia" w:ascii="仿宋_GB2312" w:hAnsi="黑体" w:eastAsia="仿宋_GB2312"/>
          <w:sz w:val="32"/>
          <w:szCs w:val="32"/>
          <w:lang w:eastAsia="zh-CN"/>
        </w:rPr>
        <w:t>、</w:t>
      </w:r>
      <w:r>
        <w:rPr>
          <w:rFonts w:hint="eastAsia" w:ascii="仿宋_GB2312" w:hAnsi="黑体" w:eastAsia="仿宋_GB2312"/>
          <w:sz w:val="32"/>
          <w:szCs w:val="32"/>
        </w:rPr>
        <w:t>离休费、生活补助、奖励金。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四、三亚市发展和改革委员会（部门）2019</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三亚市发展和改革委员会（部门）2019年“三公”经费预算数为</w:t>
      </w:r>
      <w:r>
        <w:rPr>
          <w:rFonts w:hint="eastAsia" w:ascii="仿宋_GB2312" w:hAnsi="黑体" w:eastAsia="仿宋_GB2312"/>
          <w:sz w:val="32"/>
          <w:szCs w:val="32"/>
          <w:lang w:val="en-US" w:eastAsia="zh-CN"/>
        </w:rPr>
        <w:t>19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85</w:t>
      </w:r>
      <w:r>
        <w:rPr>
          <w:rFonts w:hint="eastAsia" w:ascii="仿宋_GB2312" w:hAnsi="黑体" w:eastAsia="仿宋_GB2312"/>
          <w:sz w:val="32"/>
          <w:szCs w:val="32"/>
          <w:highlight w:val="none"/>
        </w:rPr>
        <w:t>万元</w:t>
      </w:r>
      <w:r>
        <w:rPr>
          <w:rFonts w:hint="eastAsia" w:ascii="仿宋_GB2312" w:hAnsi="黑体" w:eastAsia="仿宋_GB2312"/>
          <w:sz w:val="32"/>
          <w:szCs w:val="32"/>
        </w:rPr>
        <w:t>，其中：</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13.94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13.94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rPr>
        <w:t>平。</w:t>
      </w:r>
    </w:p>
    <w:p>
      <w:pPr>
        <w:ind w:firstLine="640" w:firstLineChars="200"/>
        <w:rPr>
          <w:rFonts w:hint="eastAsia"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5</w:t>
      </w:r>
      <w:r>
        <w:rPr>
          <w:rFonts w:hint="eastAsia" w:ascii="仿宋_GB2312" w:hAnsi="黑体" w:eastAsia="仿宋_GB2312" w:cs="Times New Roman"/>
          <w:sz w:val="32"/>
          <w:szCs w:val="32"/>
          <w:highlight w:val="none"/>
        </w:rPr>
        <w:t>.</w:t>
      </w:r>
      <w:r>
        <w:rPr>
          <w:rFonts w:hint="eastAsia" w:ascii="仿宋_GB2312" w:hAnsi="黑体" w:eastAsia="仿宋_GB2312" w:cs="Times New Roman"/>
          <w:sz w:val="32"/>
          <w:szCs w:val="32"/>
          <w:highlight w:val="none"/>
          <w:lang w:val="en-US" w:eastAsia="zh-CN"/>
        </w:rPr>
        <w:t>91</w:t>
      </w:r>
      <w:r>
        <w:rPr>
          <w:rFonts w:ascii="Times New Roman" w:hAnsi="Times New Roman" w:eastAsia="仿宋_GB2312" w:cs="Times New Roman"/>
          <w:sz w:val="32"/>
          <w:highlight w:val="none"/>
          <w:shd w:val="clear" w:color="auto" w:fill="FFFFFF"/>
        </w:rPr>
        <w:t>万元，</w:t>
      </w:r>
      <w:r>
        <w:rPr>
          <w:rFonts w:hint="eastAsia" w:ascii="仿宋_GB2312" w:hAnsi="仿宋_GB2312" w:eastAsia="仿宋_GB2312" w:cs="仿宋_GB2312"/>
          <w:sz w:val="32"/>
          <w:szCs w:val="32"/>
          <w:highlight w:val="none"/>
          <w:lang w:val="en-US" w:eastAsia="zh-CN"/>
        </w:rPr>
        <w:t>较上年预算下降12.96%</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严格控制公务接待费用开支。</w:t>
      </w:r>
    </w:p>
    <w:p>
      <w:pPr>
        <w:ind w:firstLine="640" w:firstLineChars="20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。根据外事部门安排的</w:t>
      </w:r>
      <w:r>
        <w:rPr>
          <w:rFonts w:hint="eastAsia" w:ascii="Times New Roman" w:hAnsi="Times New Roman" w:eastAsia="仿宋_GB2312" w:cs="Times New Roman"/>
          <w:sz w:val="32"/>
          <w:highlight w:val="none"/>
          <w:shd w:val="clear" w:color="auto" w:fill="FFFFFF"/>
          <w:lang w:val="en-US" w:eastAsia="zh-CN"/>
        </w:rPr>
        <w:t>2019</w:t>
      </w:r>
      <w:r>
        <w:rPr>
          <w:rFonts w:hint="eastAsia" w:ascii="Times New Roman" w:hAnsi="Times New Roman" w:eastAsia="仿宋_GB2312" w:cs="Times New Roman"/>
          <w:sz w:val="32"/>
          <w:highlight w:val="none"/>
          <w:shd w:val="clear" w:color="auto" w:fill="FFFFFF"/>
          <w:lang w:eastAsia="zh-CN"/>
        </w:rPr>
        <w:t>年出国计划，拟安排出国（境）组</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eastAsia="zh-CN"/>
        </w:rPr>
        <w:t>次，出国（境）</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eastAsia="zh-CN"/>
        </w:rPr>
        <w:t>人。无团组：目的地无，人数为</w:t>
      </w:r>
      <w:r>
        <w:rPr>
          <w:rFonts w:hint="eastAsia" w:ascii="Times New Roman" w:hAnsi="Times New Roman" w:eastAsia="仿宋_GB2312" w:cs="Times New Roman"/>
          <w:sz w:val="32"/>
          <w:highlight w:val="none"/>
          <w:shd w:val="clear" w:color="auto" w:fill="FFFFFF"/>
          <w:lang w:val="en-US" w:eastAsia="zh-CN"/>
        </w:rPr>
        <w:t>0</w:t>
      </w:r>
      <w:bookmarkStart w:id="0" w:name="_GoBack"/>
      <w:bookmarkEnd w:id="0"/>
      <w:r>
        <w:rPr>
          <w:rFonts w:hint="eastAsia" w:ascii="Times New Roman" w:hAnsi="Times New Roman" w:eastAsia="仿宋_GB2312" w:cs="Times New Roman"/>
          <w:sz w:val="32"/>
          <w:highlight w:val="none"/>
          <w:shd w:val="clear" w:color="auto" w:fill="FFFFFF"/>
          <w:lang w:eastAsia="zh-CN"/>
        </w:rPr>
        <w:t>人，天数为</w:t>
      </w:r>
      <w:r>
        <w:rPr>
          <w:rFonts w:hint="eastAsia" w:ascii="Times New Roman" w:hAnsi="Times New Roman" w:eastAsia="仿宋_GB2312" w:cs="Times New Roman"/>
          <w:sz w:val="32"/>
          <w:highlight w:val="none"/>
          <w:shd w:val="clear" w:color="auto" w:fill="FFFFFF"/>
          <w:lang w:val="en-US" w:eastAsia="zh-CN"/>
        </w:rPr>
        <w:t>0</w:t>
      </w:r>
      <w:r>
        <w:rPr>
          <w:rFonts w:hint="eastAsia" w:ascii="Times New Roman" w:hAnsi="Times New Roman" w:eastAsia="仿宋_GB2312" w:cs="Times New Roman"/>
          <w:sz w:val="32"/>
          <w:highlight w:val="none"/>
          <w:shd w:val="clear" w:color="auto" w:fill="FFFFFF"/>
          <w:lang w:eastAsia="zh-CN"/>
        </w:rPr>
        <w:t>天，主要任务为无。</w:t>
      </w:r>
    </w:p>
    <w:p>
      <w:pPr>
        <w:ind w:firstLine="640" w:firstLineChars="200"/>
        <w:rPr>
          <w:rFonts w:ascii="楷体" w:hAnsi="楷体" w:eastAsia="楷体"/>
          <w:sz w:val="32"/>
          <w:szCs w:val="32"/>
        </w:rPr>
      </w:pPr>
      <w:r>
        <w:rPr>
          <w:rFonts w:hint="eastAsia" w:ascii="黑体" w:hAnsi="黑体" w:eastAsia="黑体" w:cs="Times New Roman"/>
          <w:sz w:val="32"/>
          <w:shd w:val="clear" w:color="auto" w:fill="FFFFFF"/>
        </w:rPr>
        <w:t>五、关于三亚市发展和改革委员会（部门）2019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仿宋_GB2312" w:hAnsi="黑体" w:eastAsia="仿宋_GB2312"/>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三亚市发展和改革委员会（部门）2019年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无。</w:t>
      </w:r>
    </w:p>
    <w:p>
      <w:pPr>
        <w:numPr>
          <w:ilvl w:val="0"/>
          <w:numId w:val="9"/>
        </w:numPr>
        <w:ind w:firstLine="640" w:firstLineChars="200"/>
        <w:rPr>
          <w:rFonts w:hint="eastAsia" w:ascii="楷体" w:hAnsi="楷体" w:eastAsia="楷体"/>
          <w:sz w:val="32"/>
          <w:szCs w:val="32"/>
        </w:rPr>
      </w:pPr>
      <w:r>
        <w:rPr>
          <w:rFonts w:hint="eastAsia" w:ascii="楷体" w:hAnsi="楷体" w:eastAsia="楷体"/>
          <w:sz w:val="32"/>
          <w:szCs w:val="32"/>
        </w:rPr>
        <w:t>政府性基金预算当年拨款具体使用情况</w:t>
      </w:r>
    </w:p>
    <w:p>
      <w:pPr>
        <w:numPr>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无。</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六、关于三亚市发展和改革委员会（部门）2019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按照综合预算原则，三亚市发展和改革委员会（部门）所有收入和支出均纳入部门预算管理。收入包括：一般公共预算收入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；支出包括：一般公共服务支出、社会保障和就业支出、卫生健康支出、住房保障支出外交支出。三亚市发展和改革委员会</w:t>
      </w:r>
      <w:r>
        <w:rPr>
          <w:rFonts w:hint="eastAsia" w:ascii="仿宋_GB2312" w:hAnsi="黑体" w:eastAsia="仿宋_GB2312" w:cs="仿宋_GB2312"/>
          <w:sz w:val="32"/>
          <w:szCs w:val="32"/>
        </w:rPr>
        <w:t>（部门）2019</w:t>
      </w:r>
      <w:r>
        <w:rPr>
          <w:rFonts w:hint="eastAsia" w:ascii="仿宋_GB2312" w:hAnsi="黑体" w:eastAsia="仿宋_GB2312"/>
          <w:sz w:val="32"/>
          <w:szCs w:val="32"/>
        </w:rPr>
        <w:t>年收支总预算4683.37万元。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七、关于三亚市发展和改革委员会（部门）2019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三亚市发展和改革委员会（部门）2019</w:t>
      </w:r>
      <w:r>
        <w:rPr>
          <w:rFonts w:hint="eastAsia" w:ascii="仿宋_GB2312" w:hAnsi="黑体" w:eastAsia="仿宋_GB2312"/>
          <w:sz w:val="32"/>
          <w:szCs w:val="32"/>
        </w:rPr>
        <w:t>年收入预算4683.37万元。</w:t>
      </w:r>
      <w:r>
        <w:rPr>
          <w:rFonts w:hint="eastAsia" w:ascii="仿宋_GB2312" w:hAnsi="黑体" w:eastAsia="仿宋_GB2312"/>
          <w:sz w:val="32"/>
          <w:szCs w:val="32"/>
          <w:highlight w:val="none"/>
        </w:rPr>
        <w:t>经费拨款收入4683.37万元，占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八、关于三亚市发展和改革委员会（部门）2019</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三亚市发展和改革委员会（部门）2019</w:t>
      </w:r>
      <w:r>
        <w:rPr>
          <w:rFonts w:hint="eastAsia" w:ascii="仿宋_GB2312" w:hAnsi="黑体" w:eastAsia="仿宋_GB2312"/>
          <w:sz w:val="32"/>
          <w:szCs w:val="32"/>
        </w:rPr>
        <w:t>年支出预算4683.37万元，其中：基本支出1420.05万元，占30.32%；项目支出3263.32万元，占69.68%。</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widowControl w:val="0"/>
        <w:spacing w:before="0" w:beforeAutospacing="0" w:after="0" w:afterAutospacing="0"/>
        <w:ind w:left="0" w:right="0"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rPr>
        <w:t>2019年三亚市发展和改革委员会</w:t>
      </w:r>
      <w:r>
        <w:rPr>
          <w:rFonts w:hint="eastAsia" w:ascii="仿宋_GB2312" w:hAnsi="黑体" w:eastAsia="仿宋_GB2312" w:cs="仿宋_GB2312"/>
          <w:sz w:val="32"/>
          <w:szCs w:val="32"/>
        </w:rPr>
        <w:t>（部门）本级、三亚市投资服务中心、三亚市菜篮子工程管理服务中心、三亚市价格监测中心、三亚市价格认证中心等的机关运行经费预算</w:t>
      </w:r>
      <w:r>
        <w:rPr>
          <w:rFonts w:hint="eastAsia" w:ascii="仿宋_GB2312" w:hAnsi="黑体" w:eastAsia="仿宋_GB2312" w:cs="仿宋_GB2312"/>
          <w:sz w:val="32"/>
          <w:szCs w:val="32"/>
          <w:lang w:val="en-US" w:eastAsia="zh-CN"/>
        </w:rPr>
        <w:t>735.96</w:t>
      </w:r>
      <w:r>
        <w:rPr>
          <w:rFonts w:hint="eastAsia" w:ascii="仿宋_GB2312" w:hAnsi="黑体" w:eastAsia="仿宋_GB2312"/>
          <w:sz w:val="32"/>
          <w:szCs w:val="32"/>
          <w:highlight w:val="none"/>
        </w:rPr>
        <w:t>万元</w:t>
      </w:r>
      <w:r>
        <w:rPr>
          <w:rFonts w:hint="eastAsia" w:ascii="仿宋_GB2312" w:hAnsi="宋体" w:eastAsia="仿宋_GB2312" w:cs="宋体"/>
          <w:color w:val="000000"/>
          <w:kern w:val="0"/>
          <w:sz w:val="32"/>
          <w:szCs w:val="30"/>
          <w:highlight w:val="none"/>
          <w:lang w:val="en-US" w:eastAsia="zh-CN" w:bidi="ar-SA"/>
        </w:rPr>
        <w:t>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2019年三亚市发展和改革委员会</w:t>
      </w:r>
      <w:r>
        <w:rPr>
          <w:rFonts w:hint="eastAsia" w:ascii="仿宋_GB2312" w:hAnsi="黑体" w:eastAsia="仿宋_GB2312" w:cs="仿宋_GB2312"/>
          <w:sz w:val="32"/>
          <w:szCs w:val="32"/>
        </w:rPr>
        <w:t>（部门）本级及下属各预算单位政府采购预算总额36.92</w:t>
      </w:r>
      <w:r>
        <w:rPr>
          <w:rFonts w:hint="eastAsia" w:ascii="仿宋_GB2312" w:hAnsi="黑体" w:eastAsia="仿宋_GB2312"/>
          <w:sz w:val="32"/>
          <w:szCs w:val="32"/>
        </w:rPr>
        <w:t>万元，其中：政府采购货物预算36.92万元，政府采购工程预算0万元，政府采购服务预算0万元。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截至2018</w:t>
      </w:r>
      <w:r>
        <w:rPr>
          <w:rFonts w:hint="eastAsia" w:ascii="仿宋_GB2312" w:hAnsi="黑体" w:eastAsia="仿宋_GB2312"/>
          <w:sz w:val="32"/>
          <w:szCs w:val="32"/>
        </w:rPr>
        <w:t>年12月31日，三亚市发展和改革委员会</w:t>
      </w:r>
      <w:r>
        <w:rPr>
          <w:rFonts w:hint="eastAsia" w:ascii="仿宋_GB2312" w:hAnsi="黑体" w:eastAsia="仿宋_GB2312" w:cs="仿宋_GB2312"/>
          <w:sz w:val="32"/>
          <w:szCs w:val="32"/>
        </w:rPr>
        <w:t>（部门）本级及下属各预算单位共有车辆4辆，其中，领导干部用车0辆</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机要通信应急用车4辆、一般执法执勤用车0辆、特种专业技术用车0辆、其他用车0辆。单位价值100万元以上设备0台（套）。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2019年三亚市发展和改革委员会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highlight w:val="none"/>
        </w:rPr>
        <w:t>个</w:t>
      </w:r>
      <w:r>
        <w:rPr>
          <w:rFonts w:hint="eastAsia" w:ascii="仿宋_GB2312" w:hAnsi="黑体" w:eastAsia="仿宋_GB2312" w:cs="仿宋_GB2312"/>
          <w:sz w:val="32"/>
          <w:szCs w:val="32"/>
        </w:rPr>
        <w:t>项目实行绩效目标管理，涉及一般公共预算</w:t>
      </w:r>
      <w:r>
        <w:rPr>
          <w:rFonts w:hint="eastAsia" w:ascii="仿宋_GB2312" w:hAnsi="黑体" w:eastAsia="仿宋_GB2312" w:cs="仿宋_GB2312"/>
          <w:sz w:val="32"/>
          <w:szCs w:val="32"/>
          <w:lang w:val="en-US" w:eastAsia="zh-CN"/>
        </w:rPr>
        <w:t>2701.1</w:t>
      </w:r>
      <w:r>
        <w:rPr>
          <w:rFonts w:hint="eastAsia" w:ascii="仿宋_GB2312" w:hAnsi="黑体" w:eastAsia="仿宋_GB2312"/>
          <w:sz w:val="32"/>
          <w:szCs w:val="32"/>
          <w:highlight w:val="none"/>
        </w:rPr>
        <w:t>万元</w:t>
      </w:r>
      <w:r>
        <w:rPr>
          <w:rFonts w:hint="eastAsia" w:ascii="仿宋_GB2312" w:hAnsi="黑体" w:eastAsia="仿宋_GB2312"/>
          <w:sz w:val="32"/>
          <w:szCs w:val="32"/>
        </w:rPr>
        <w:t>、政府性基金0万元。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00"/>
    <w:family w:val="auto"/>
    <w:pitch w:val="default"/>
    <w:sig w:usb0="A00002EF" w:usb1="4000207B" w:usb2="00000000" w:usb3="00000000" w:csb0="2000009F" w:csb1="00000000"/>
  </w:font>
  <w:font w:name="楷体">
    <w:altName w:val="楷体_GB2312"/>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9983437">
    <w:nsid w:val="5A991B4D"/>
    <w:multiLevelType w:val="singleLevel"/>
    <w:tmpl w:val="5A991B4D"/>
    <w:lvl w:ilvl="0" w:tentative="1">
      <w:start w:val="15"/>
      <w:numFmt w:val="chineseCounting"/>
      <w:suff w:val="nothing"/>
      <w:lvlText w:val="（%1）"/>
      <w:lvlJc w:val="left"/>
      <w:rPr>
        <w:rFonts w:cs="Times New Roman"/>
      </w:r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549936028">
    <w:nsid w:val="5C62259C"/>
    <w:multiLevelType w:val="singleLevel"/>
    <w:tmpl w:val="5C62259C"/>
    <w:lvl w:ilvl="0" w:tentative="1">
      <w:start w:val="3"/>
      <w:numFmt w:val="chineseCounting"/>
      <w:suff w:val="nothing"/>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1519983437"/>
  </w:num>
  <w:num w:numId="8">
    <w:abstractNumId w:val="772744178"/>
  </w:num>
  <w:num w:numId="9">
    <w:abstractNumId w:val="15499360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0172A27"/>
    <w:rsid w:val="003846C5"/>
    <w:rsid w:val="00495CCE"/>
    <w:rsid w:val="005C6105"/>
    <w:rsid w:val="0067454B"/>
    <w:rsid w:val="008C25F5"/>
    <w:rsid w:val="00C05E01"/>
    <w:rsid w:val="00C3621D"/>
    <w:rsid w:val="00D04480"/>
    <w:rsid w:val="00D201A1"/>
    <w:rsid w:val="00DA2866"/>
    <w:rsid w:val="00F86277"/>
    <w:rsid w:val="00F910B1"/>
    <w:rsid w:val="04B16481"/>
    <w:rsid w:val="05EC3946"/>
    <w:rsid w:val="07944BFB"/>
    <w:rsid w:val="07A06733"/>
    <w:rsid w:val="0A5631E7"/>
    <w:rsid w:val="15D75E1A"/>
    <w:rsid w:val="196D1144"/>
    <w:rsid w:val="1A6738E6"/>
    <w:rsid w:val="1E79088D"/>
    <w:rsid w:val="20F879A7"/>
    <w:rsid w:val="214F03B6"/>
    <w:rsid w:val="22F90529"/>
    <w:rsid w:val="2598673B"/>
    <w:rsid w:val="267C1850"/>
    <w:rsid w:val="28C6303D"/>
    <w:rsid w:val="2BDF6B05"/>
    <w:rsid w:val="2CF808D7"/>
    <w:rsid w:val="30C93B1B"/>
    <w:rsid w:val="31350C4C"/>
    <w:rsid w:val="32A77828"/>
    <w:rsid w:val="33D63227"/>
    <w:rsid w:val="340D03F4"/>
    <w:rsid w:val="345438CE"/>
    <w:rsid w:val="37D039FB"/>
    <w:rsid w:val="38C5048E"/>
    <w:rsid w:val="3D291888"/>
    <w:rsid w:val="3F280188"/>
    <w:rsid w:val="406E6DCB"/>
    <w:rsid w:val="456A2192"/>
    <w:rsid w:val="47AD3FFA"/>
    <w:rsid w:val="4960687E"/>
    <w:rsid w:val="49FA0DDA"/>
    <w:rsid w:val="4D57447A"/>
    <w:rsid w:val="4D8971C2"/>
    <w:rsid w:val="4EF9611F"/>
    <w:rsid w:val="52B54C41"/>
    <w:rsid w:val="5335581F"/>
    <w:rsid w:val="5B73685F"/>
    <w:rsid w:val="5BD347B4"/>
    <w:rsid w:val="5CB21FFF"/>
    <w:rsid w:val="5D0C1038"/>
    <w:rsid w:val="5E144765"/>
    <w:rsid w:val="5F21307D"/>
    <w:rsid w:val="5F533063"/>
    <w:rsid w:val="6A765537"/>
    <w:rsid w:val="6BCE176C"/>
    <w:rsid w:val="6E2D5DD3"/>
    <w:rsid w:val="78E07DD4"/>
    <w:rsid w:val="7A2A42FD"/>
    <w:rsid w:val="7D5B6EBA"/>
    <w:rsid w:val="7E52432B"/>
    <w:rsid w:val="7E6626E7"/>
    <w:rsid w:val="7EAD7761"/>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iPriority="0" w:name="Light Shading"/>
    <w:lsdException w:uiPriority="0" w:name="Light List"/>
    <w:lsdException w:uiPriority="0" w:name="Light Grid"/>
    <w:lsdException w:uiPriority="0" w:name="Medium Shading 1"/>
    <w:lsdException w:uiPriority="0" w:name="Medium Shading 2"/>
    <w:lsdException w:uiPriority="0" w:name="Medium List 1"/>
    <w:lsdException w:uiPriority="0" w:name="Medium List 2"/>
    <w:lsdException w:uiPriority="0" w:name="Medium Grid 1"/>
    <w:lsdException w:uiPriority="0" w:name="Medium Grid 2"/>
    <w:lsdException w:uiPriority="0" w:name="Medium Grid 3"/>
    <w:lsdException w:uiPriority="0" w:name="Dark List"/>
    <w:lsdException w:uiPriority="0" w:name="Colorful Shading"/>
    <w:lsdException w:uiPriority="0" w:name="Colorful List"/>
    <w:lsdException w:uiPriority="0" w:name="Colorful Grid"/>
    <w:lsdException w:uiPriority="0" w:name="Light Shading Accent 1"/>
    <w:lsdException w:uiPriority="0" w:name="Light List Accent 1"/>
    <w:lsdException w:uiPriority="0" w:name="Light Grid Accent 1"/>
    <w:lsdException w:uiPriority="0" w:name="Medium Shading 1 Accent 1"/>
    <w:lsdException w:uiPriority="0" w:name="Medium Shading 2 Accent 1"/>
    <w:lsdException w:uiPriority="0" w:name="Medium List 1 Accent 1"/>
    <w:lsdException w:uiPriority="0" w:name="Medium List 2 Accent 1"/>
    <w:lsdException w:uiPriority="0" w:name="Medium Grid 1 Accent 1"/>
    <w:lsdException w:uiPriority="0" w:name="Medium Grid 2 Accent 1"/>
    <w:lsdException w:uiPriority="0" w:name="Medium Grid 3 Accent 1"/>
    <w:lsdException w:uiPriority="0" w:name="Dark List Accent 1"/>
    <w:lsdException w:uiPriority="0" w:name="Colorful Shading Accent 1"/>
    <w:lsdException w:uiPriority="0" w:name="Colorful List Accent 1"/>
    <w:lsdException w:uiPriority="0" w:name="Colorful Grid Accent 1"/>
    <w:lsdException w:uiPriority="0" w:name="Light Shading Accent 2"/>
    <w:lsdException w:uiPriority="0" w:name="Light List Accent 2"/>
    <w:lsdException w:uiPriority="0" w:name="Light Grid Accent 2"/>
    <w:lsdException w:uiPriority="0" w:name="Medium Shading 1 Accent 2"/>
    <w:lsdException w:uiPriority="0" w:name="Medium Shading 2 Accent 2"/>
    <w:lsdException w:uiPriority="0" w:name="Medium List 1 Accent 2"/>
    <w:lsdException w:uiPriority="0" w:name="Medium List 2 Accent 2"/>
    <w:lsdException w:uiPriority="0" w:name="Medium Grid 1 Accent 2"/>
    <w:lsdException w:uiPriority="0" w:name="Medium Grid 2 Accent 2"/>
    <w:lsdException w:uiPriority="0" w:name="Medium Grid 3 Accent 2"/>
    <w:lsdException w:uiPriority="0" w:name="Dark List Accent 2"/>
    <w:lsdException w:uiPriority="0" w:name="Colorful Shading Accent 2"/>
    <w:lsdException w:uiPriority="0" w:name="Colorful List Accent 2"/>
    <w:lsdException w:uiPriority="0" w:name="Colorful Grid Accent 2"/>
    <w:lsdException w:uiPriority="0" w:name="Light Shading Accent 3"/>
    <w:lsdException w:uiPriority="0" w:name="Light List Accent 3"/>
    <w:lsdException w:uiPriority="0" w:name="Light Grid Accent 3"/>
    <w:lsdException w:uiPriority="0" w:name="Medium Shading 1 Accent 3"/>
    <w:lsdException w:uiPriority="0" w:name="Medium Shading 2 Accent 3"/>
    <w:lsdException w:uiPriority="0" w:name="Medium List 1 Accent 3"/>
    <w:lsdException w:uiPriority="0" w:name="Medium List 2 Accent 3"/>
    <w:lsdException w:uiPriority="0" w:name="Medium Grid 1 Accent 3"/>
    <w:lsdException w:uiPriority="0" w:name="Medium Grid 2 Accent 3"/>
    <w:lsdException w:uiPriority="0" w:name="Medium Grid 3 Accent 3"/>
    <w:lsdException w:uiPriority="0" w:name="Dark List Accent 3"/>
    <w:lsdException w:uiPriority="0" w:name="Colorful Shading Accent 3"/>
    <w:lsdException w:uiPriority="0" w:name="Colorful List Accent 3"/>
    <w:lsdException w:uiPriority="0" w:name="Colorful Grid Accent 3"/>
    <w:lsdException w:uiPriority="0" w:name="Light Shading Accent 4"/>
    <w:lsdException w:uiPriority="0" w:name="Light List Accent 4"/>
    <w:lsdException w:uiPriority="0" w:name="Light Grid Accent 4"/>
    <w:lsdException w:uiPriority="0" w:name="Medium Shading 1 Accent 4"/>
    <w:lsdException w:uiPriority="0" w:name="Medium Shading 2 Accent 4"/>
    <w:lsdException w:uiPriority="0" w:name="Medium List 1 Accent 4"/>
    <w:lsdException w:uiPriority="0" w:name="Medium List 2 Accent 4"/>
    <w:lsdException w:uiPriority="0" w:name="Medium Grid 1 Accent 4"/>
    <w:lsdException w:uiPriority="0" w:name="Medium Grid 2 Accent 4"/>
    <w:lsdException w:uiPriority="0" w:name="Medium Grid 3 Accent 4"/>
    <w:lsdException w:uiPriority="0" w:name="Dark List Accent 4"/>
    <w:lsdException w:uiPriority="0" w:name="Colorful Shading Accent 4"/>
    <w:lsdException w:uiPriority="0" w:name="Colorful List Accent 4"/>
    <w:lsdException w:uiPriority="0" w:name="Colorful Grid Accent 4"/>
    <w:lsdException w:uiPriority="0" w:name="Light Shading Accent 5"/>
    <w:lsdException w:uiPriority="0" w:name="Light List Accent 5"/>
    <w:lsdException w:uiPriority="0" w:name="Light Grid Accent 5"/>
    <w:lsdException w:uiPriority="0" w:name="Medium Shading 1 Accent 5"/>
    <w:lsdException w:uiPriority="0" w:name="Medium Shading 2 Accent 5"/>
    <w:lsdException w:uiPriority="0" w:name="Medium List 1 Accent 5"/>
    <w:lsdException w:uiPriority="0" w:name="Medium List 2 Accent 5"/>
    <w:lsdException w:uiPriority="0" w:name="Medium Grid 1 Accent 5"/>
    <w:lsdException w:uiPriority="0" w:name="Medium Grid 2 Accent 5"/>
    <w:lsdException w:uiPriority="0" w:name="Medium Grid 3 Accent 5"/>
    <w:lsdException w:uiPriority="0" w:name="Dark List Accent 5"/>
    <w:lsdException w:uiPriority="0" w:name="Colorful Shading Accent 5"/>
    <w:lsdException w:uiPriority="0" w:name="Colorful List Accent 5"/>
    <w:lsdException w:uiPriority="0" w:name="Colorful Grid Accent 5"/>
    <w:lsdException w:uiPriority="0" w:name="Light Shading Accent 6"/>
    <w:lsdException w:uiPriority="0" w:name="Light List Accent 6"/>
    <w:lsdException w:uiPriority="0" w:name="Light Grid Accent 6"/>
    <w:lsdException w:uiPriority="0" w:name="Medium Shading 1 Accent 6"/>
    <w:lsdException w:uiPriority="0" w:name="Medium Shading 2 Accent 6"/>
    <w:lsdException w:uiPriority="0" w:name="Medium List 1 Accent 6"/>
    <w:lsdException w:uiPriority="0" w:name="Medium List 2 Accent 6"/>
    <w:lsdException w:uiPriority="0" w:name="Medium Grid 1 Accent 6"/>
    <w:lsdException w:uiPriority="0" w:name="Medium Grid 2 Accent 6"/>
    <w:lsdException w:uiPriority="0" w:name="Medium Grid 3 Accent 6"/>
    <w:lsdException w:uiPriority="0" w:name="Dark List Accent 6"/>
    <w:lsdException w:uiPriority="0" w:name="Colorful Shading Accent 6"/>
    <w:lsdException w:uiPriority="0" w:name="Colorful List Accent 6"/>
    <w:lsdException w:uiPriority="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10"/>
    <w:unhideWhenUsed/>
    <w:uiPriority w:val="99"/>
    <w:pPr>
      <w:tabs>
        <w:tab w:val="center" w:pos="4153"/>
        <w:tab w:val="right" w:pos="8306"/>
      </w:tabs>
      <w:snapToGrid w:val="0"/>
      <w:jc w:val="left"/>
    </w:pPr>
    <w:rPr>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List Paragraph2"/>
    <w:basedOn w:val="1"/>
    <w:uiPriority w:val="99"/>
    <w:pPr>
      <w:ind w:firstLine="420" w:firstLineChars="200"/>
    </w:pPr>
  </w:style>
  <w:style w:type="paragraph" w:customStyle="1" w:styleId="8">
    <w:name w:val="List Paragraph1"/>
    <w:basedOn w:val="1"/>
    <w:uiPriority w:val="99"/>
    <w:pPr>
      <w:ind w:firstLine="420" w:firstLineChars="200"/>
    </w:pPr>
  </w:style>
  <w:style w:type="character" w:customStyle="1" w:styleId="9">
    <w:name w:val="页眉 Char"/>
    <w:basedOn w:val="4"/>
    <w:link w:val="3"/>
    <w:semiHidden/>
    <w:uiPriority w:val="99"/>
    <w:rPr>
      <w:sz w:val="18"/>
      <w:szCs w:val="18"/>
    </w:rPr>
  </w:style>
  <w:style w:type="character" w:customStyle="1" w:styleId="10">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910</Words>
  <Characters>5190</Characters>
  <Lines>43</Lines>
  <Paragraphs>12</Paragraphs>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黄振云</cp:lastModifiedBy>
  <dcterms:modified xsi:type="dcterms:W3CDTF">2019-02-12T01:38:39Z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