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ordWrap/>
        <w:adjustRightInd w:val="0"/>
        <w:snapToGrid w:val="0"/>
        <w:spacing w:line="560" w:lineRule="exact"/>
        <w:textAlignment w:val="auto"/>
        <w:rPr>
          <w:sz w:val="84"/>
          <w:szCs w:val="84"/>
          <w:u w:val="single"/>
        </w:rPr>
      </w:pPr>
    </w:p>
    <w:p>
      <w:pPr>
        <w:wordWrap/>
        <w:adjustRightInd w:val="0"/>
        <w:snapToGrid w:val="0"/>
        <w:spacing w:line="560" w:lineRule="exact"/>
        <w:textAlignment w:val="auto"/>
        <w:rPr>
          <w:sz w:val="84"/>
          <w:szCs w:val="84"/>
          <w:u w:val="single"/>
        </w:rPr>
      </w:pPr>
    </w:p>
    <w:p>
      <w:pPr>
        <w:wordWrap/>
        <w:adjustRightInd w:val="0"/>
        <w:snapToGrid w:val="0"/>
        <w:spacing w:line="560" w:lineRule="exact"/>
        <w:textAlignment w:val="auto"/>
        <w:rPr>
          <w:sz w:val="84"/>
          <w:szCs w:val="84"/>
          <w:u w:val="single"/>
        </w:rPr>
      </w:pPr>
    </w:p>
    <w:p>
      <w:pPr>
        <w:wordWrap/>
        <w:adjustRightInd w:val="0"/>
        <w:snapToGrid w:val="0"/>
        <w:spacing w:line="560" w:lineRule="exact"/>
        <w:textAlignment w:val="auto"/>
        <w:rPr>
          <w:sz w:val="84"/>
          <w:szCs w:val="84"/>
          <w:u w:val="single"/>
        </w:rPr>
      </w:pPr>
    </w:p>
    <w:p>
      <w:pPr>
        <w:wordWrap/>
        <w:adjustRightInd w:val="0"/>
        <w:snapToGrid w:val="0"/>
        <w:spacing w:line="560" w:lineRule="exact"/>
        <w:textAlignment w:val="auto"/>
        <w:rPr>
          <w:sz w:val="84"/>
          <w:szCs w:val="84"/>
          <w:u w:val="single"/>
        </w:rPr>
      </w:pPr>
    </w:p>
    <w:p>
      <w:pPr>
        <w:wordWrap/>
        <w:adjustRightInd w:val="0"/>
        <w:snapToGrid w:val="0"/>
        <w:spacing w:line="560" w:lineRule="exact"/>
        <w:textAlignment w:val="auto"/>
        <w:rPr>
          <w:sz w:val="84"/>
          <w:szCs w:val="84"/>
          <w:u w:val="single"/>
        </w:rPr>
      </w:pPr>
    </w:p>
    <w:p>
      <w:pPr>
        <w:wordWrap/>
        <w:adjustRightInd w:val="0"/>
        <w:snapToGrid w:val="0"/>
        <w:spacing w:line="560" w:lineRule="exact"/>
        <w:textAlignment w:val="auto"/>
        <w:rPr>
          <w:sz w:val="84"/>
          <w:szCs w:val="84"/>
          <w:u w:val="single"/>
        </w:rPr>
      </w:pPr>
    </w:p>
    <w:p>
      <w:pPr>
        <w:wordWrap/>
        <w:adjustRightInd w:val="0"/>
        <w:snapToGrid w:val="0"/>
        <w:spacing w:line="560" w:lineRule="exact"/>
        <w:textAlignment w:val="auto"/>
        <w:rPr>
          <w:sz w:val="84"/>
          <w:szCs w:val="84"/>
          <w:u w:val="single"/>
        </w:rPr>
      </w:pPr>
    </w:p>
    <w:p>
      <w:pPr>
        <w:wordWrap/>
        <w:adjustRightInd w:val="0"/>
        <w:snapToGrid w:val="0"/>
        <w:spacing w:line="560" w:lineRule="exact"/>
        <w:textAlignment w:val="auto"/>
        <w:rPr>
          <w:sz w:val="84"/>
          <w:szCs w:val="84"/>
          <w:u w:val="single"/>
        </w:rPr>
      </w:pPr>
    </w:p>
    <w:p>
      <w:pPr>
        <w:widowControl w:val="0"/>
        <w:wordWrap/>
        <w:adjustRightInd w:val="0"/>
        <w:snapToGrid w:val="0"/>
        <w:spacing w:line="1000" w:lineRule="exact"/>
        <w:jc w:val="center"/>
        <w:textAlignment w:val="auto"/>
        <w:rPr>
          <w:sz w:val="84"/>
          <w:szCs w:val="84"/>
        </w:rPr>
      </w:pPr>
      <w:r>
        <w:rPr>
          <w:rFonts w:hint="eastAsia" w:ascii="方正小标宋简体" w:eastAsia="方正小标宋简体"/>
          <w:sz w:val="84"/>
          <w:szCs w:val="84"/>
        </w:rPr>
        <w:t>201</w:t>
      </w:r>
      <w:r>
        <w:rPr>
          <w:rFonts w:hint="eastAsia" w:ascii="方正小标宋简体" w:eastAsia="方正小标宋简体"/>
          <w:sz w:val="84"/>
          <w:szCs w:val="84"/>
          <w:lang w:val="en-US" w:eastAsia="zh-CN"/>
        </w:rPr>
        <w:t>9</w:t>
      </w:r>
      <w:r>
        <w:rPr>
          <w:rFonts w:hint="eastAsia" w:ascii="方正小标宋简体" w:eastAsia="方正小标宋简体"/>
          <w:sz w:val="84"/>
          <w:szCs w:val="84"/>
        </w:rPr>
        <w:t>年三亚市园林环卫管理局部门预算</w:t>
      </w:r>
    </w:p>
    <w:p>
      <w:pPr>
        <w:wordWrap/>
        <w:adjustRightInd w:val="0"/>
        <w:snapToGrid w:val="0"/>
        <w:spacing w:line="560" w:lineRule="exact"/>
        <w:jc w:val="center"/>
        <w:textAlignment w:val="auto"/>
        <w:rPr>
          <w:rFonts w:hint="eastAsia" w:ascii="黑体" w:hAnsi="黑体" w:eastAsia="黑体"/>
          <w:sz w:val="52"/>
          <w:szCs w:val="52"/>
        </w:rPr>
      </w:pPr>
      <w:r>
        <w:rPr>
          <w:rFonts w:hint="eastAsia" w:ascii="黑体" w:hAnsi="黑体" w:eastAsia="黑体"/>
          <w:sz w:val="52"/>
          <w:szCs w:val="52"/>
        </w:rPr>
        <w:br w:type="page"/>
      </w:r>
    </w:p>
    <w:p>
      <w:pPr>
        <w:wordWrap/>
        <w:adjustRightInd w:val="0"/>
        <w:snapToGrid w:val="0"/>
        <w:spacing w:line="560" w:lineRule="exact"/>
        <w:jc w:val="center"/>
        <w:textAlignment w:val="auto"/>
        <w:rPr>
          <w:rFonts w:ascii="黑体" w:hAnsi="黑体" w:eastAsia="黑体"/>
          <w:sz w:val="52"/>
          <w:szCs w:val="52"/>
        </w:rPr>
      </w:pPr>
      <w:r>
        <w:rPr>
          <w:rFonts w:hint="eastAsia" w:ascii="黑体" w:hAnsi="黑体" w:eastAsia="黑体"/>
          <w:sz w:val="52"/>
          <w:szCs w:val="52"/>
        </w:rPr>
        <w:t>目录</w:t>
      </w:r>
    </w:p>
    <w:p>
      <w:pPr>
        <w:pStyle w:val="6"/>
        <w:numPr>
          <w:ilvl w:val="0"/>
          <w:numId w:val="1"/>
        </w:numPr>
        <w:wordWrap/>
        <w:adjustRightInd w:val="0"/>
        <w:snapToGrid w:val="0"/>
        <w:spacing w:line="560" w:lineRule="exact"/>
        <w:ind w:firstLineChars="0"/>
        <w:jc w:val="left"/>
        <w:textAlignment w:val="auto"/>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部门</w:t>
      </w:r>
      <w:r>
        <w:rPr>
          <w:rFonts w:hint="eastAsia" w:ascii="黑体" w:hAnsi="黑体" w:eastAsia="黑体"/>
          <w:sz w:val="32"/>
          <w:szCs w:val="32"/>
        </w:rPr>
        <w:t>概况</w:t>
      </w:r>
    </w:p>
    <w:p>
      <w:pPr>
        <w:pStyle w:val="6"/>
        <w:numPr>
          <w:ilvl w:val="0"/>
          <w:numId w:val="2"/>
        </w:numPr>
        <w:tabs>
          <w:tab w:val="left" w:pos="640"/>
          <w:tab w:val="left" w:pos="700"/>
        </w:tabs>
        <w:wordWrap/>
        <w:adjustRightInd w:val="0"/>
        <w:snapToGrid w:val="0"/>
        <w:spacing w:line="560" w:lineRule="exact"/>
        <w:ind w:left="0" w:leftChars="0" w:firstLine="0" w:firstLineChars="0"/>
        <w:jc w:val="left"/>
        <w:textAlignment w:val="auto"/>
        <w:rPr>
          <w:rFonts w:ascii="黑体" w:hAnsi="黑体" w:eastAsia="黑体"/>
          <w:sz w:val="32"/>
          <w:szCs w:val="32"/>
        </w:rPr>
      </w:pPr>
      <w:r>
        <w:rPr>
          <w:rFonts w:hint="eastAsia" w:ascii="黑体" w:hAnsi="黑体" w:eastAsia="黑体"/>
          <w:sz w:val="32"/>
          <w:szCs w:val="32"/>
          <w:lang w:eastAsia="zh-CN"/>
        </w:rPr>
        <w:t>部门</w:t>
      </w:r>
      <w:r>
        <w:rPr>
          <w:rFonts w:hint="eastAsia" w:ascii="黑体" w:hAnsi="黑体" w:eastAsia="黑体"/>
          <w:sz w:val="32"/>
          <w:szCs w:val="32"/>
        </w:rPr>
        <w:t>主要职能</w:t>
      </w:r>
    </w:p>
    <w:p>
      <w:pPr>
        <w:pStyle w:val="6"/>
        <w:numPr>
          <w:ilvl w:val="0"/>
          <w:numId w:val="2"/>
        </w:numPr>
        <w:tabs>
          <w:tab w:val="left" w:pos="640"/>
          <w:tab w:val="left" w:pos="700"/>
        </w:tabs>
        <w:wordWrap/>
        <w:adjustRightInd w:val="0"/>
        <w:snapToGrid w:val="0"/>
        <w:spacing w:line="560" w:lineRule="exact"/>
        <w:ind w:left="0" w:leftChars="0" w:firstLine="0" w:firstLineChars="0"/>
        <w:jc w:val="left"/>
        <w:textAlignment w:val="auto"/>
        <w:rPr>
          <w:rFonts w:hint="eastAsia" w:ascii="黑体" w:hAnsi="黑体" w:eastAsia="黑体"/>
          <w:sz w:val="32"/>
          <w:szCs w:val="32"/>
          <w:lang w:eastAsia="zh-CN"/>
        </w:rPr>
      </w:pPr>
      <w:r>
        <w:rPr>
          <w:rFonts w:hint="eastAsia" w:ascii="黑体" w:hAnsi="黑体" w:eastAsia="黑体"/>
          <w:sz w:val="32"/>
          <w:szCs w:val="32"/>
          <w:lang w:eastAsia="zh-CN"/>
        </w:rPr>
        <w:t>部门预算单位构成</w:t>
      </w:r>
    </w:p>
    <w:p>
      <w:pPr>
        <w:pStyle w:val="6"/>
        <w:numPr>
          <w:ilvl w:val="0"/>
          <w:numId w:val="1"/>
        </w:numPr>
        <w:wordWrap/>
        <w:adjustRightInd w:val="0"/>
        <w:snapToGrid w:val="0"/>
        <w:spacing w:line="560" w:lineRule="exact"/>
        <w:ind w:firstLineChars="0"/>
        <w:jc w:val="left"/>
        <w:textAlignment w:val="auto"/>
        <w:rPr>
          <w:rFonts w:ascii="黑体" w:hAnsi="黑体" w:eastAsia="黑体"/>
          <w:sz w:val="32"/>
          <w:szCs w:val="32"/>
        </w:rPr>
      </w:pPr>
      <w:r>
        <w:rPr>
          <w:rFonts w:hint="eastAsia" w:ascii="黑体" w:hAnsi="黑体" w:eastAsia="黑体"/>
          <w:sz w:val="32"/>
          <w:szCs w:val="32"/>
          <w:lang w:val="en-US" w:eastAsia="zh-CN"/>
        </w:rPr>
        <w:t xml:space="preserve"> 2019</w:t>
      </w:r>
      <w:r>
        <w:rPr>
          <w:rFonts w:hint="eastAsia" w:ascii="黑体" w:hAnsi="黑体" w:eastAsia="黑体"/>
          <w:sz w:val="32"/>
          <w:szCs w:val="32"/>
        </w:rPr>
        <w:t>年部门预算表</w:t>
      </w:r>
    </w:p>
    <w:p>
      <w:pPr>
        <w:pStyle w:val="6"/>
        <w:numPr>
          <w:ilvl w:val="0"/>
          <w:numId w:val="3"/>
        </w:numPr>
        <w:tabs>
          <w:tab w:val="left" w:pos="640"/>
        </w:tabs>
        <w:wordWrap/>
        <w:adjustRightInd w:val="0"/>
        <w:snapToGrid w:val="0"/>
        <w:spacing w:line="560" w:lineRule="exact"/>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tabs>
          <w:tab w:val="left" w:pos="640"/>
        </w:tabs>
        <w:wordWrap/>
        <w:adjustRightInd w:val="0"/>
        <w:snapToGrid w:val="0"/>
        <w:spacing w:line="560" w:lineRule="exact"/>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tabs>
          <w:tab w:val="left" w:pos="640"/>
        </w:tabs>
        <w:wordWrap/>
        <w:adjustRightInd w:val="0"/>
        <w:snapToGrid w:val="0"/>
        <w:spacing w:line="560" w:lineRule="exact"/>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tabs>
          <w:tab w:val="left" w:pos="640"/>
        </w:tabs>
        <w:wordWrap/>
        <w:adjustRightInd w:val="0"/>
        <w:snapToGrid w:val="0"/>
        <w:spacing w:line="560" w:lineRule="exact"/>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tabs>
          <w:tab w:val="left" w:pos="640"/>
        </w:tabs>
        <w:wordWrap/>
        <w:adjustRightInd w:val="0"/>
        <w:snapToGrid w:val="0"/>
        <w:spacing w:line="560" w:lineRule="exact"/>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tabs>
          <w:tab w:val="left" w:pos="640"/>
        </w:tabs>
        <w:wordWrap/>
        <w:adjustRightInd w:val="0"/>
        <w:snapToGrid w:val="0"/>
        <w:spacing w:line="560" w:lineRule="exact"/>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部门收支总表</w:t>
      </w:r>
    </w:p>
    <w:p>
      <w:pPr>
        <w:pStyle w:val="6"/>
        <w:numPr>
          <w:ilvl w:val="0"/>
          <w:numId w:val="3"/>
        </w:numPr>
        <w:tabs>
          <w:tab w:val="left" w:pos="640"/>
        </w:tabs>
        <w:wordWrap/>
        <w:adjustRightInd w:val="0"/>
        <w:snapToGrid w:val="0"/>
        <w:spacing w:line="560" w:lineRule="exact"/>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部门收入总表</w:t>
      </w:r>
    </w:p>
    <w:p>
      <w:pPr>
        <w:pStyle w:val="6"/>
        <w:numPr>
          <w:ilvl w:val="0"/>
          <w:numId w:val="3"/>
        </w:numPr>
        <w:tabs>
          <w:tab w:val="left" w:pos="640"/>
        </w:tabs>
        <w:wordWrap/>
        <w:adjustRightInd w:val="0"/>
        <w:snapToGrid w:val="0"/>
        <w:spacing w:line="560" w:lineRule="exact"/>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部门支出总表</w:t>
      </w:r>
    </w:p>
    <w:p>
      <w:pPr>
        <w:pStyle w:val="6"/>
        <w:numPr>
          <w:ilvl w:val="0"/>
          <w:numId w:val="3"/>
        </w:numPr>
        <w:tabs>
          <w:tab w:val="left" w:pos="640"/>
        </w:tabs>
        <w:wordWrap/>
        <w:adjustRightInd w:val="0"/>
        <w:snapToGrid w:val="0"/>
        <w:spacing w:line="560" w:lineRule="exact"/>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项目支出绩效信息表</w:t>
      </w:r>
    </w:p>
    <w:p>
      <w:pPr>
        <w:pStyle w:val="6"/>
        <w:numPr>
          <w:ilvl w:val="0"/>
          <w:numId w:val="3"/>
        </w:numPr>
        <w:tabs>
          <w:tab w:val="left" w:pos="640"/>
        </w:tabs>
        <w:wordWrap/>
        <w:adjustRightInd w:val="0"/>
        <w:snapToGrid w:val="0"/>
        <w:spacing w:line="560" w:lineRule="exact"/>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省级财力安排的专项转移支付预算表</w:t>
      </w:r>
    </w:p>
    <w:p>
      <w:pPr>
        <w:pStyle w:val="6"/>
        <w:numPr>
          <w:ilvl w:val="0"/>
          <w:numId w:val="1"/>
        </w:numPr>
        <w:wordWrap/>
        <w:adjustRightInd w:val="0"/>
        <w:snapToGrid w:val="0"/>
        <w:spacing w:line="560" w:lineRule="exact"/>
        <w:ind w:firstLineChars="0"/>
        <w:jc w:val="left"/>
        <w:textAlignment w:val="auto"/>
        <w:rPr>
          <w:rFonts w:ascii="仿宋_GB2312" w:hAnsi="仿宋_GB2312" w:eastAsia="仿宋_GB2312" w:cs="仿宋_GB2312"/>
          <w:sz w:val="32"/>
          <w:szCs w:val="32"/>
        </w:rPr>
      </w:pPr>
      <w:r>
        <w:rPr>
          <w:rFonts w:hint="eastAsia" w:ascii="黑体" w:hAnsi="黑体" w:eastAsia="黑体"/>
          <w:sz w:val="32"/>
          <w:szCs w:val="32"/>
          <w:lang w:val="en-US" w:eastAsia="zh-CN"/>
        </w:rPr>
        <w:t xml:space="preserve"> 2019</w:t>
      </w:r>
      <w:r>
        <w:rPr>
          <w:rFonts w:hint="eastAsia" w:ascii="黑体" w:hAnsi="黑体" w:eastAsia="黑体"/>
          <w:sz w:val="32"/>
          <w:szCs w:val="32"/>
        </w:rPr>
        <w:t>年部门预算情况说明</w:t>
      </w:r>
    </w:p>
    <w:p>
      <w:pPr>
        <w:pStyle w:val="6"/>
        <w:numPr>
          <w:ilvl w:val="0"/>
          <w:numId w:val="1"/>
        </w:numPr>
        <w:wordWrap/>
        <w:adjustRightInd w:val="0"/>
        <w:snapToGrid w:val="0"/>
        <w:spacing w:line="560" w:lineRule="exact"/>
        <w:ind w:firstLineChars="0"/>
        <w:jc w:val="left"/>
        <w:textAlignment w:val="auto"/>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wordWrap/>
        <w:adjustRightInd w:val="0"/>
        <w:snapToGrid w:val="0"/>
        <w:spacing w:line="560" w:lineRule="exact"/>
        <w:ind w:left="1320" w:firstLine="0" w:firstLineChars="0"/>
        <w:jc w:val="left"/>
        <w:textAlignment w:val="auto"/>
        <w:rPr>
          <w:rFonts w:ascii="黑体" w:hAnsi="黑体" w:eastAsia="黑体"/>
          <w:sz w:val="32"/>
          <w:szCs w:val="32"/>
        </w:rPr>
      </w:pPr>
      <w:r>
        <w:rPr>
          <w:rFonts w:ascii="黑体" w:hAnsi="黑体" w:eastAsia="黑体"/>
          <w:sz w:val="32"/>
          <w:szCs w:val="32"/>
        </w:rPr>
        <w:br w:type="page"/>
      </w:r>
    </w:p>
    <w:p>
      <w:pPr>
        <w:pStyle w:val="6"/>
        <w:numPr>
          <w:ilvl w:val="0"/>
          <w:numId w:val="4"/>
        </w:numPr>
        <w:wordWrap/>
        <w:adjustRightInd w:val="0"/>
        <w:snapToGrid w:val="0"/>
        <w:spacing w:line="560" w:lineRule="exact"/>
        <w:ind w:firstLineChars="0"/>
        <w:jc w:val="center"/>
        <w:textAlignment w:val="auto"/>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部门</w:t>
      </w:r>
      <w:r>
        <w:rPr>
          <w:rFonts w:hint="eastAsia" w:ascii="黑体" w:hAnsi="黑体" w:eastAsia="黑体"/>
          <w:sz w:val="32"/>
          <w:szCs w:val="32"/>
        </w:rPr>
        <w:t>概况</w:t>
      </w:r>
    </w:p>
    <w:p>
      <w:pPr>
        <w:wordWrap/>
        <w:adjustRightInd w:val="0"/>
        <w:snapToGrid w:val="0"/>
        <w:spacing w:line="560" w:lineRule="exact"/>
        <w:jc w:val="left"/>
        <w:textAlignment w:val="auto"/>
        <w:rPr>
          <w:rFonts w:ascii="仿宋_GB2312" w:hAnsi="仿宋_GB2312" w:eastAsia="仿宋_GB2312" w:cs="仿宋_GB2312"/>
          <w:sz w:val="32"/>
          <w:szCs w:val="32"/>
        </w:rPr>
      </w:pPr>
    </w:p>
    <w:p>
      <w:pPr>
        <w:pStyle w:val="6"/>
        <w:widowControl w:val="0"/>
        <w:numPr>
          <w:ilvl w:val="0"/>
          <w:numId w:val="5"/>
        </w:numPr>
        <w:tabs>
          <w:tab w:val="left" w:pos="1280"/>
        </w:tabs>
        <w:wordWrap/>
        <w:adjustRightInd w:val="0"/>
        <w:snapToGrid w:val="0"/>
        <w:spacing w:line="560" w:lineRule="exact"/>
        <w:ind w:left="0" w:leftChars="0" w:right="0" w:firstLine="640" w:firstLineChars="200"/>
        <w:jc w:val="left"/>
        <w:textAlignment w:val="auto"/>
        <w:outlineLvl w:val="9"/>
        <w:rPr>
          <w:rFonts w:ascii="黑体" w:hAnsi="黑体" w:eastAsia="黑体" w:cs="仿宋_GB2312"/>
          <w:sz w:val="32"/>
          <w:szCs w:val="32"/>
        </w:rPr>
      </w:pPr>
      <w:r>
        <w:rPr>
          <w:rFonts w:hint="eastAsia" w:ascii="黑体" w:hAnsi="黑体" w:eastAsia="黑体"/>
          <w:sz w:val="32"/>
          <w:szCs w:val="32"/>
          <w:lang w:eastAsia="zh-CN"/>
        </w:rPr>
        <w:t>部门</w:t>
      </w:r>
      <w:r>
        <w:rPr>
          <w:rFonts w:hint="eastAsia" w:ascii="黑体" w:hAnsi="黑体" w:eastAsia="黑体"/>
          <w:sz w:val="32"/>
          <w:szCs w:val="32"/>
        </w:rPr>
        <w:t>主要职能</w:t>
      </w:r>
    </w:p>
    <w:p>
      <w:pPr>
        <w:pStyle w:val="6"/>
        <w:widowControl w:val="0"/>
        <w:numPr>
          <w:numId w:val="0"/>
        </w:numPr>
        <w:wordWrap/>
        <w:adjustRightInd w:val="0"/>
        <w:snapToGrid w:val="0"/>
        <w:spacing w:line="560" w:lineRule="exact"/>
        <w:ind w:left="0" w:leftChars="0" w:right="0" w:firstLine="640" w:firstLineChars="200"/>
        <w:jc w:val="left"/>
        <w:textAlignment w:val="auto"/>
        <w:outlineLvl w:val="9"/>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贯彻执行国家和省有关园林绿化、环境卫生管理工作的方针政策、法律法规、战略规划；实施《海南省城镇绿化管理条例》和本市城市规划区范围内的园林绿化工作。依法拟定并组织实施本市园林绿化、环境卫生管理工作的规章制度、标准规范和发展规划、计划；指导全市公共性区域卫生保洁工作和园林绿化工作。</w:t>
      </w:r>
    </w:p>
    <w:p>
      <w:pPr>
        <w:pStyle w:val="6"/>
        <w:widowControl w:val="0"/>
        <w:numPr>
          <w:numId w:val="0"/>
        </w:numPr>
        <w:wordWrap/>
        <w:adjustRightInd w:val="0"/>
        <w:snapToGrid w:val="0"/>
        <w:spacing w:line="560" w:lineRule="exact"/>
        <w:ind w:left="0" w:leftChars="0" w:right="0" w:firstLine="640" w:firstLineChars="200"/>
        <w:jc w:val="left"/>
        <w:textAlignment w:val="auto"/>
        <w:outlineLvl w:val="9"/>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负责对全市园林绿化的调控和管理；负责组织全市园林绿化、环境卫生的监督检查和宣传工作；组织全市园林绿化、环境卫生行业有关的普查、资源调查评估、统计申报工作；培育、发展和维护全市园林绿化、环境卫生作业市场。</w:t>
      </w:r>
    </w:p>
    <w:p>
      <w:pPr>
        <w:pStyle w:val="6"/>
        <w:widowControl w:val="0"/>
        <w:numPr>
          <w:numId w:val="0"/>
        </w:numPr>
        <w:wordWrap/>
        <w:adjustRightInd w:val="0"/>
        <w:snapToGrid w:val="0"/>
        <w:spacing w:line="560" w:lineRule="exact"/>
        <w:ind w:left="0" w:leftChars="0" w:right="0" w:firstLine="640" w:firstLineChars="200"/>
        <w:jc w:val="left"/>
        <w:textAlignment w:val="auto"/>
        <w:outlineLvl w:val="9"/>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负责全市性环境卫生基础设施的规划编制和统筹建设工作；负责全市园林绿化的规划编制和建设工作；参与全市改变绿化规划，绿化用地的使用性质审核；负责全市建设项目附属园林工程规划设计和施工方案的审批；参与全市建设项目绿地指标验收审核。</w:t>
      </w:r>
    </w:p>
    <w:p>
      <w:pPr>
        <w:pStyle w:val="6"/>
        <w:widowControl w:val="0"/>
        <w:numPr>
          <w:numId w:val="0"/>
        </w:numPr>
        <w:wordWrap/>
        <w:adjustRightInd w:val="0"/>
        <w:snapToGrid w:val="0"/>
        <w:spacing w:line="560" w:lineRule="exact"/>
        <w:ind w:left="0" w:leftChars="0" w:right="0" w:firstLine="640" w:firstLineChars="200"/>
        <w:jc w:val="left"/>
        <w:textAlignment w:val="auto"/>
        <w:outlineLvl w:val="9"/>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负责园林等公用行业三级企业资质审批；负责城市规划区范围内临时占用绿地的审批；负责城市规划区范围内树木的迁移、砍伐审批。</w:t>
      </w:r>
    </w:p>
    <w:p>
      <w:pPr>
        <w:pStyle w:val="6"/>
        <w:widowControl w:val="0"/>
        <w:numPr>
          <w:numId w:val="0"/>
        </w:numPr>
        <w:wordWrap/>
        <w:adjustRightInd w:val="0"/>
        <w:snapToGrid w:val="0"/>
        <w:spacing w:line="560" w:lineRule="exact"/>
        <w:ind w:left="0" w:leftChars="0" w:right="0" w:firstLine="640" w:firstLineChars="200"/>
        <w:jc w:val="left"/>
        <w:textAlignment w:val="auto"/>
        <w:outlineLvl w:val="9"/>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负责市垃圾填埋场的建设和管理；负责市生活垃圾焚烧发电厂、市餐厨废弃物处理厂和市垃圾渗滤液处理厂等全市性垃圾处理设施BOT项目的监管。</w:t>
      </w:r>
    </w:p>
    <w:p>
      <w:pPr>
        <w:pStyle w:val="6"/>
        <w:widowControl w:val="0"/>
        <w:numPr>
          <w:numId w:val="0"/>
        </w:numPr>
        <w:wordWrap/>
        <w:adjustRightInd w:val="0"/>
        <w:snapToGrid w:val="0"/>
        <w:spacing w:line="560" w:lineRule="exact"/>
        <w:ind w:left="0" w:leftChars="0" w:right="0" w:firstLine="640" w:firstLineChars="200"/>
        <w:jc w:val="left"/>
        <w:textAlignment w:val="auto"/>
        <w:outlineLvl w:val="9"/>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6.</w:t>
      </w:r>
      <w:r>
        <w:rPr>
          <w:rFonts w:hint="eastAsia" w:ascii="仿宋_GB2312" w:hAnsi="黑体" w:eastAsia="仿宋_GB2312" w:cs="仿宋_GB2312"/>
          <w:sz w:val="32"/>
          <w:szCs w:val="32"/>
        </w:rPr>
        <w:t>负责主城区市属公园绿地和主次干道绿化的建设和管理，负责市苗圃场的建设和管理。</w:t>
      </w:r>
    </w:p>
    <w:p>
      <w:pPr>
        <w:pStyle w:val="6"/>
        <w:widowControl w:val="0"/>
        <w:numPr>
          <w:numId w:val="0"/>
        </w:numPr>
        <w:wordWrap/>
        <w:adjustRightInd w:val="0"/>
        <w:snapToGrid w:val="0"/>
        <w:spacing w:line="560" w:lineRule="exact"/>
        <w:ind w:left="0" w:leftChars="0" w:right="0" w:firstLine="640" w:firstLineChars="200"/>
        <w:jc w:val="left"/>
        <w:textAlignment w:val="auto"/>
        <w:outlineLvl w:val="9"/>
        <w:rPr>
          <w:rFonts w:ascii="仿宋_GB2312" w:hAnsi="黑体" w:eastAsia="仿宋_GB2312" w:cs="仿宋_GB2312"/>
          <w:sz w:val="32"/>
          <w:szCs w:val="32"/>
        </w:rPr>
      </w:pPr>
      <w:r>
        <w:rPr>
          <w:rFonts w:hint="eastAsia" w:ascii="仿宋_GB2312" w:hAnsi="黑体" w:eastAsia="仿宋_GB2312" w:cs="仿宋_GB2312"/>
          <w:sz w:val="32"/>
          <w:szCs w:val="32"/>
          <w:lang w:val="en-US" w:eastAsia="zh-CN"/>
        </w:rPr>
        <w:t>7.</w:t>
      </w:r>
      <w:r>
        <w:rPr>
          <w:rFonts w:hint="eastAsia" w:ascii="仿宋_GB2312" w:hAnsi="黑体" w:eastAsia="仿宋_GB2312" w:cs="仿宋_GB2312"/>
          <w:sz w:val="32"/>
          <w:szCs w:val="32"/>
        </w:rPr>
        <w:t>承办市政府和上级部门交办的工作，检查指导各区园林绿化和环境卫生工作。</w:t>
      </w:r>
    </w:p>
    <w:p>
      <w:pPr>
        <w:pStyle w:val="6"/>
        <w:widowControl w:val="0"/>
        <w:numPr>
          <w:ilvl w:val="0"/>
          <w:numId w:val="5"/>
        </w:numPr>
        <w:tabs>
          <w:tab w:val="left" w:pos="1280"/>
        </w:tabs>
        <w:wordWrap/>
        <w:adjustRightInd w:val="0"/>
        <w:snapToGrid w:val="0"/>
        <w:spacing w:line="560" w:lineRule="exact"/>
        <w:ind w:left="0" w:leftChars="0" w:right="0" w:firstLine="640" w:firstLineChars="200"/>
        <w:jc w:val="left"/>
        <w:textAlignment w:val="auto"/>
        <w:outlineLvl w:val="9"/>
        <w:rPr>
          <w:rFonts w:hint="eastAsia" w:ascii="黑体" w:hAnsi="黑体" w:eastAsia="黑体"/>
          <w:sz w:val="32"/>
          <w:szCs w:val="32"/>
          <w:lang w:eastAsia="zh-CN"/>
        </w:rPr>
      </w:pPr>
      <w:r>
        <w:rPr>
          <w:rFonts w:hint="eastAsia" w:ascii="黑体" w:hAnsi="黑体" w:eastAsia="黑体"/>
          <w:sz w:val="32"/>
          <w:szCs w:val="32"/>
          <w:lang w:eastAsia="zh-CN"/>
        </w:rPr>
        <w:t>部门预算单位构成</w:t>
      </w:r>
    </w:p>
    <w:p>
      <w:pPr>
        <w:wordWrap/>
        <w:adjustRightInd w:val="0"/>
        <w:snapToGrid w:val="0"/>
        <w:spacing w:line="560" w:lineRule="exact"/>
        <w:ind w:firstLine="800" w:firstLineChars="250"/>
        <w:jc w:val="left"/>
        <w:textAlignment w:val="auto"/>
        <w:rPr>
          <w:rFonts w:hint="eastAsia" w:ascii="仿宋_GB2312" w:hAnsi="黑体" w:eastAsia="仿宋_GB2312" w:cs="仿宋_GB2312"/>
          <w:sz w:val="32"/>
          <w:szCs w:val="32"/>
        </w:rPr>
      </w:pPr>
      <w:r>
        <w:rPr>
          <w:rFonts w:hint="eastAsia" w:ascii="仿宋_GB2312" w:hAnsi="黑体" w:eastAsia="仿宋_GB2312" w:cs="仿宋_GB2312"/>
          <w:sz w:val="32"/>
          <w:szCs w:val="32"/>
        </w:rPr>
        <w:t>纳入部门</w:t>
      </w:r>
      <w:r>
        <w:rPr>
          <w:rFonts w:hint="eastAsia" w:ascii="仿宋_GB2312" w:hAnsi="黑体" w:eastAsia="仿宋_GB2312" w:cs="仿宋_GB2312"/>
          <w:sz w:val="32"/>
          <w:szCs w:val="32"/>
          <w:lang w:val="en-US" w:eastAsia="zh-CN"/>
        </w:rPr>
        <w:t>2019</w:t>
      </w:r>
      <w:r>
        <w:rPr>
          <w:rFonts w:hint="eastAsia" w:ascii="仿宋_GB2312" w:hAnsi="黑体" w:eastAsia="仿宋_GB2312" w:cs="仿宋_GB2312"/>
          <w:sz w:val="32"/>
          <w:szCs w:val="32"/>
        </w:rPr>
        <w:t>年部门预算编制范围的二级预算单位包括：</w:t>
      </w:r>
    </w:p>
    <w:p>
      <w:pPr>
        <w:pStyle w:val="6"/>
        <w:widowControl w:val="0"/>
        <w:numPr>
          <w:numId w:val="0"/>
        </w:numPr>
        <w:wordWrap/>
        <w:adjustRightInd w:val="0"/>
        <w:snapToGrid w:val="0"/>
        <w:spacing w:line="560" w:lineRule="exact"/>
        <w:ind w:left="0" w:leftChars="0" w:right="0" w:firstLine="640" w:firstLineChars="200"/>
        <w:jc w:val="left"/>
        <w:textAlignment w:val="auto"/>
        <w:outlineLvl w:val="9"/>
        <w:rPr>
          <w:rFonts w:hint="eastAsia" w:ascii="仿宋_GB2312" w:hAnsi="黑体" w:eastAsia="仿宋_GB2312" w:cs="仿宋_GB2312"/>
          <w:sz w:val="32"/>
          <w:szCs w:val="32"/>
        </w:rPr>
      </w:pPr>
      <w:r>
        <w:rPr>
          <w:rFonts w:hint="eastAsia" w:ascii="仿宋_GB2312" w:hAnsi="黑体" w:eastAsia="仿宋_GB2312" w:cs="仿宋_GB2312"/>
          <w:sz w:val="32"/>
          <w:szCs w:val="32"/>
        </w:rPr>
        <w:t>三亚市垃圾处理场</w:t>
      </w:r>
      <w:r>
        <w:rPr>
          <w:rFonts w:hint="eastAsia" w:ascii="仿宋_GB2312" w:hAnsi="黑体" w:eastAsia="仿宋_GB2312" w:cs="仿宋_GB2312"/>
          <w:sz w:val="32"/>
          <w:szCs w:val="32"/>
          <w:lang w:eastAsia="zh-CN"/>
        </w:rPr>
        <w:t>。</w:t>
      </w:r>
    </w:p>
    <w:p>
      <w:pPr>
        <w:wordWrap/>
        <w:adjustRightInd w:val="0"/>
        <w:snapToGrid w:val="0"/>
        <w:spacing w:line="560" w:lineRule="exact"/>
        <w:ind w:left="800"/>
        <w:jc w:val="left"/>
        <w:textAlignment w:val="auto"/>
        <w:rPr>
          <w:rFonts w:ascii="仿宋_GB2312" w:hAnsi="黑体" w:eastAsia="仿宋_GB2312" w:cs="仿宋_GB2312"/>
          <w:sz w:val="32"/>
          <w:szCs w:val="32"/>
        </w:rPr>
      </w:pPr>
      <w:r>
        <w:rPr>
          <w:rFonts w:ascii="仿宋_GB2312" w:hAnsi="黑体" w:eastAsia="仿宋_GB2312" w:cs="仿宋_GB2312"/>
          <w:sz w:val="32"/>
          <w:szCs w:val="32"/>
        </w:rPr>
        <w:br w:type="page"/>
      </w:r>
    </w:p>
    <w:p>
      <w:pPr>
        <w:pStyle w:val="6"/>
        <w:widowControl w:val="0"/>
        <w:numPr>
          <w:ilvl w:val="0"/>
          <w:numId w:val="4"/>
        </w:numPr>
        <w:wordWrap/>
        <w:adjustRightInd w:val="0"/>
        <w:snapToGrid w:val="0"/>
        <w:spacing w:line="560" w:lineRule="exact"/>
        <w:ind w:left="0" w:leftChars="0" w:right="0" w:firstLine="0" w:firstLineChars="0"/>
        <w:jc w:val="center"/>
        <w:textAlignment w:val="auto"/>
        <w:outlineLvl w:val="9"/>
        <w:rPr>
          <w:rFonts w:hint="eastAsia" w:ascii="黑体" w:hAnsi="黑体" w:eastAsia="黑体"/>
          <w:sz w:val="32"/>
          <w:szCs w:val="32"/>
        </w:rPr>
      </w:pPr>
      <w:r>
        <w:rPr>
          <w:rFonts w:hint="eastAsia" w:ascii="黑体" w:hAnsi="黑体" w:eastAsia="黑体"/>
          <w:sz w:val="32"/>
          <w:szCs w:val="32"/>
          <w:lang w:val="en-US" w:eastAsia="zh-CN"/>
        </w:rPr>
        <w:t xml:space="preserve"> 2019</w:t>
      </w:r>
      <w:r>
        <w:rPr>
          <w:rFonts w:hint="eastAsia" w:ascii="黑体" w:hAnsi="黑体" w:eastAsia="黑体"/>
          <w:sz w:val="32"/>
          <w:szCs w:val="32"/>
        </w:rPr>
        <w:t>年部门预算表</w:t>
      </w:r>
    </w:p>
    <w:p>
      <w:pPr>
        <w:widowControl w:val="0"/>
        <w:wordWrap/>
        <w:adjustRightInd w:val="0"/>
        <w:snapToGrid w:val="0"/>
        <w:spacing w:line="560" w:lineRule="exact"/>
        <w:ind w:left="800" w:right="0" w:firstLine="0" w:firstLineChars="0"/>
        <w:jc w:val="left"/>
        <w:textAlignment w:val="auto"/>
        <w:outlineLvl w:val="9"/>
        <w:rPr>
          <w:rFonts w:ascii="黑体" w:hAnsi="黑体" w:eastAsia="黑体"/>
          <w:sz w:val="32"/>
          <w:szCs w:val="32"/>
        </w:rPr>
      </w:pPr>
    </w:p>
    <w:p>
      <w:pPr>
        <w:widowControl w:val="0"/>
        <w:wordWrap/>
        <w:adjustRightInd w:val="0"/>
        <w:snapToGrid w:val="0"/>
        <w:spacing w:line="560" w:lineRule="exact"/>
        <w:ind w:left="0" w:leftChars="0" w:right="0" w:firstLine="0" w:firstLineChars="0"/>
        <w:jc w:val="center"/>
        <w:textAlignment w:val="auto"/>
        <w:outlineLvl w:val="9"/>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wordWrap/>
        <w:adjustRightInd w:val="0"/>
        <w:snapToGrid w:val="0"/>
        <w:spacing w:line="560" w:lineRule="exact"/>
        <w:textAlignment w:val="auto"/>
        <w:rPr>
          <w:rFonts w:ascii="黑体" w:hAnsi="黑体" w:eastAsia="黑体"/>
          <w:sz w:val="32"/>
          <w:szCs w:val="32"/>
        </w:rPr>
      </w:pPr>
      <w:r>
        <w:rPr>
          <w:rFonts w:ascii="黑体" w:hAnsi="黑体" w:eastAsia="黑体"/>
          <w:sz w:val="32"/>
          <w:szCs w:val="32"/>
        </w:rPr>
        <w:br w:type="page"/>
      </w:r>
    </w:p>
    <w:p>
      <w:pPr>
        <w:widowControl w:val="0"/>
        <w:wordWrap/>
        <w:adjustRightInd w:val="0"/>
        <w:snapToGrid w:val="0"/>
        <w:spacing w:line="560" w:lineRule="exact"/>
        <w:ind w:left="0" w:leftChars="0" w:right="0" w:firstLine="0" w:firstLineChars="0"/>
        <w:jc w:val="center"/>
        <w:textAlignment w:val="auto"/>
        <w:outlineLvl w:val="9"/>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val="en-US" w:eastAsia="zh-CN"/>
        </w:rPr>
        <w:t>2019</w:t>
      </w:r>
      <w:r>
        <w:rPr>
          <w:rFonts w:hint="eastAsia" w:ascii="黑体" w:hAnsi="黑体" w:eastAsia="黑体"/>
          <w:sz w:val="32"/>
          <w:szCs w:val="32"/>
        </w:rPr>
        <w:t>年部门预算情况说明</w:t>
      </w:r>
    </w:p>
    <w:p>
      <w:pPr>
        <w:widowControl w:val="0"/>
        <w:wordWrap/>
        <w:adjustRightInd w:val="0"/>
        <w:snapToGrid w:val="0"/>
        <w:spacing w:line="560" w:lineRule="exact"/>
        <w:ind w:left="0" w:leftChars="0" w:right="0" w:firstLine="640" w:firstLineChars="200"/>
        <w:jc w:val="center"/>
        <w:textAlignment w:val="auto"/>
        <w:outlineLvl w:val="9"/>
        <w:rPr>
          <w:rFonts w:ascii="黑体" w:hAnsi="黑体" w:eastAsia="黑体"/>
          <w:sz w:val="32"/>
          <w:szCs w:val="32"/>
        </w:rPr>
      </w:pPr>
    </w:p>
    <w:p>
      <w:pPr>
        <w:widowControl w:val="0"/>
        <w:wordWrap/>
        <w:adjustRightInd w:val="0"/>
        <w:snapToGrid w:val="0"/>
        <w:spacing w:line="560" w:lineRule="exact"/>
        <w:ind w:left="0" w:leftChars="0" w:right="0" w:firstLine="640" w:firstLineChars="200"/>
        <w:jc w:val="left"/>
        <w:textAlignment w:val="auto"/>
        <w:outlineLvl w:val="9"/>
        <w:rPr>
          <w:rFonts w:hint="eastAsia" w:ascii="黑体" w:hAnsi="黑体" w:eastAsia="黑体"/>
          <w:sz w:val="32"/>
          <w:szCs w:val="32"/>
        </w:rPr>
      </w:pPr>
    </w:p>
    <w:p>
      <w:pPr>
        <w:widowControl w:val="0"/>
        <w:wordWrap/>
        <w:adjustRightInd w:val="0"/>
        <w:snapToGrid w:val="0"/>
        <w:spacing w:line="560" w:lineRule="exact"/>
        <w:ind w:left="0" w:leftChars="0" w:right="0" w:firstLine="640" w:firstLineChars="200"/>
        <w:jc w:val="left"/>
        <w:textAlignment w:val="auto"/>
        <w:outlineLvl w:val="9"/>
        <w:rPr>
          <w:rFonts w:ascii="黑体" w:hAnsi="黑体" w:eastAsia="黑体"/>
          <w:sz w:val="32"/>
          <w:szCs w:val="32"/>
        </w:rPr>
      </w:pPr>
      <w:r>
        <w:rPr>
          <w:rFonts w:hint="eastAsia" w:ascii="黑体" w:hAnsi="黑体" w:eastAsia="黑体"/>
          <w:sz w:val="32"/>
          <w:szCs w:val="32"/>
        </w:rPr>
        <w:t>一、财政拨款收支预算情况的总体说明</w:t>
      </w:r>
    </w:p>
    <w:p>
      <w:pPr>
        <w:widowControl w:val="0"/>
        <w:wordWrap/>
        <w:adjustRightInd w:val="0"/>
        <w:snapToGrid w:val="0"/>
        <w:spacing w:line="560" w:lineRule="exact"/>
        <w:ind w:left="0" w:leftChars="0" w:right="0"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2019</w:t>
      </w:r>
      <w:r>
        <w:rPr>
          <w:rFonts w:hint="eastAsia" w:ascii="仿宋_GB2312" w:hAnsi="仿宋_GB2312" w:eastAsia="仿宋_GB2312" w:cs="仿宋_GB2312"/>
          <w:sz w:val="32"/>
          <w:szCs w:val="32"/>
        </w:rPr>
        <w:t>年财政拨款收支总预算</w:t>
      </w:r>
      <w:r>
        <w:rPr>
          <w:rFonts w:hint="eastAsia" w:ascii="仿宋_GB2312" w:hAnsi="仿宋_GB2312" w:eastAsia="仿宋_GB2312" w:cs="仿宋_GB2312"/>
          <w:sz w:val="32"/>
          <w:szCs w:val="32"/>
          <w:lang w:val="en-US" w:eastAsia="zh-CN"/>
        </w:rPr>
        <w:t>15308.15</w:t>
      </w:r>
      <w:r>
        <w:rPr>
          <w:rFonts w:hint="eastAsia" w:ascii="仿宋_GB2312" w:hAnsi="仿宋_GB2312" w:eastAsia="仿宋_GB2312" w:cs="仿宋_GB2312"/>
          <w:sz w:val="32"/>
          <w:szCs w:val="32"/>
        </w:rPr>
        <w:t>万元。其中，收入总计</w:t>
      </w:r>
      <w:r>
        <w:rPr>
          <w:rFonts w:hint="eastAsia" w:ascii="仿宋_GB2312" w:hAnsi="仿宋_GB2312" w:eastAsia="仿宋_GB2312" w:cs="仿宋_GB2312"/>
          <w:sz w:val="32"/>
          <w:szCs w:val="32"/>
          <w:lang w:val="en-US" w:eastAsia="zh-CN"/>
        </w:rPr>
        <w:t>15308.15</w:t>
      </w:r>
      <w:r>
        <w:rPr>
          <w:rFonts w:hint="eastAsia" w:ascii="仿宋_GB2312" w:hAnsi="仿宋_GB2312" w:eastAsia="仿宋_GB2312" w:cs="仿宋_GB2312"/>
          <w:sz w:val="32"/>
          <w:szCs w:val="32"/>
        </w:rPr>
        <w:t>万元，包括一般公共预算本年收入</w:t>
      </w:r>
      <w:r>
        <w:rPr>
          <w:rFonts w:hint="eastAsia" w:ascii="仿宋_GB2312" w:hAnsi="仿宋_GB2312" w:eastAsia="仿宋_GB2312" w:cs="仿宋_GB2312"/>
          <w:sz w:val="32"/>
          <w:szCs w:val="32"/>
          <w:lang w:val="en-US" w:eastAsia="zh-CN"/>
        </w:rPr>
        <w:t>14857.15</w:t>
      </w:r>
      <w:r>
        <w:rPr>
          <w:rFonts w:hint="eastAsia" w:ascii="仿宋_GB2312" w:hAnsi="仿宋_GB2312" w:eastAsia="仿宋_GB2312" w:cs="仿宋_GB2312"/>
          <w:sz w:val="32"/>
          <w:szCs w:val="32"/>
        </w:rPr>
        <w:t>万元，政府性基金预算本年收入</w:t>
      </w:r>
      <w:r>
        <w:rPr>
          <w:rFonts w:hint="eastAsia" w:ascii="仿宋_GB2312" w:hAnsi="仿宋_GB2312" w:eastAsia="仿宋_GB2312" w:cs="仿宋_GB2312"/>
          <w:sz w:val="32"/>
          <w:szCs w:val="32"/>
          <w:lang w:val="en-US" w:eastAsia="zh-CN"/>
        </w:rPr>
        <w:t>451.00</w:t>
      </w:r>
      <w:r>
        <w:rPr>
          <w:rFonts w:hint="eastAsia" w:ascii="仿宋_GB2312" w:hAnsi="仿宋_GB2312" w:eastAsia="仿宋_GB2312" w:cs="仿宋_GB2312"/>
          <w:sz w:val="32"/>
          <w:szCs w:val="32"/>
        </w:rPr>
        <w:t>万元；支出总计</w:t>
      </w:r>
      <w:r>
        <w:rPr>
          <w:rFonts w:hint="eastAsia" w:ascii="仿宋_GB2312" w:hAnsi="仿宋_GB2312" w:eastAsia="仿宋_GB2312" w:cs="仿宋_GB2312"/>
          <w:sz w:val="32"/>
          <w:szCs w:val="32"/>
          <w:lang w:val="en-US" w:eastAsia="zh-CN"/>
        </w:rPr>
        <w:t>15308.15</w:t>
      </w:r>
      <w:r>
        <w:rPr>
          <w:rFonts w:hint="eastAsia" w:ascii="仿宋_GB2312" w:hAnsi="仿宋_GB2312" w:eastAsia="仿宋_GB2312" w:cs="仿宋_GB2312"/>
          <w:sz w:val="32"/>
          <w:szCs w:val="32"/>
        </w:rPr>
        <w:t>万元，包括社会保障和就业支出</w:t>
      </w:r>
      <w:r>
        <w:rPr>
          <w:rFonts w:hint="eastAsia" w:ascii="仿宋_GB2312" w:hAnsi="仿宋_GB2312" w:eastAsia="仿宋_GB2312" w:cs="仿宋_GB2312"/>
          <w:sz w:val="32"/>
          <w:szCs w:val="32"/>
          <w:lang w:val="en-US" w:eastAsia="zh-CN"/>
        </w:rPr>
        <w:t>128.00</w:t>
      </w:r>
      <w:r>
        <w:rPr>
          <w:rFonts w:hint="eastAsia" w:ascii="仿宋_GB2312" w:hAnsi="仿宋_GB2312" w:eastAsia="仿宋_GB2312" w:cs="仿宋_GB2312"/>
          <w:sz w:val="32"/>
          <w:szCs w:val="32"/>
        </w:rPr>
        <w:t>万元、卫生健康支出</w:t>
      </w:r>
      <w:r>
        <w:rPr>
          <w:rFonts w:hint="eastAsia" w:ascii="仿宋_GB2312" w:hAnsi="仿宋_GB2312" w:eastAsia="仿宋_GB2312" w:cs="仿宋_GB2312"/>
          <w:sz w:val="32"/>
          <w:szCs w:val="32"/>
          <w:lang w:val="en-US" w:eastAsia="zh-CN"/>
        </w:rPr>
        <w:t>98.61</w:t>
      </w:r>
      <w:r>
        <w:rPr>
          <w:rFonts w:hint="eastAsia" w:ascii="仿宋_GB2312" w:hAnsi="仿宋_GB2312" w:eastAsia="仿宋_GB2312" w:cs="仿宋_GB2312"/>
          <w:sz w:val="32"/>
          <w:szCs w:val="32"/>
        </w:rPr>
        <w:t>万元、城乡社区支出</w:t>
      </w:r>
      <w:r>
        <w:rPr>
          <w:rFonts w:hint="eastAsia" w:ascii="仿宋_GB2312" w:hAnsi="仿宋_GB2312" w:eastAsia="仿宋_GB2312" w:cs="仿宋_GB2312"/>
          <w:sz w:val="32"/>
          <w:szCs w:val="32"/>
          <w:lang w:val="en-US" w:eastAsia="zh-CN"/>
        </w:rPr>
        <w:t>15023.97</w:t>
      </w:r>
      <w:r>
        <w:rPr>
          <w:rFonts w:hint="eastAsia" w:ascii="仿宋_GB2312" w:hAnsi="仿宋_GB2312" w:eastAsia="仿宋_GB2312" w:cs="仿宋_GB2312"/>
          <w:sz w:val="32"/>
          <w:szCs w:val="32"/>
        </w:rPr>
        <w:t>万元、住房保障支出</w:t>
      </w:r>
      <w:r>
        <w:rPr>
          <w:rFonts w:hint="eastAsia" w:ascii="仿宋_GB2312" w:hAnsi="仿宋_GB2312" w:eastAsia="仿宋_GB2312" w:cs="仿宋_GB2312"/>
          <w:sz w:val="32"/>
          <w:szCs w:val="32"/>
          <w:lang w:val="en-US" w:eastAsia="zh-CN"/>
        </w:rPr>
        <w:t>57.57万元。</w:t>
      </w:r>
    </w:p>
    <w:p>
      <w:pPr>
        <w:widowControl w:val="0"/>
        <w:wordWrap/>
        <w:adjustRightInd w:val="0"/>
        <w:snapToGrid w:val="0"/>
        <w:spacing w:line="560" w:lineRule="exact"/>
        <w:ind w:left="0" w:leftChars="0" w:right="0" w:firstLine="640" w:firstLineChars="200"/>
        <w:jc w:val="left"/>
        <w:textAlignment w:val="auto"/>
        <w:outlineLvl w:val="9"/>
        <w:rPr>
          <w:rFonts w:ascii="黑体" w:hAnsi="黑体" w:eastAsia="黑体"/>
          <w:sz w:val="32"/>
          <w:szCs w:val="32"/>
        </w:rPr>
      </w:pPr>
      <w:r>
        <w:rPr>
          <w:rFonts w:hint="eastAsia" w:ascii="黑体" w:hAnsi="黑体" w:eastAsia="黑体"/>
          <w:sz w:val="32"/>
          <w:szCs w:val="32"/>
        </w:rPr>
        <w:t>二、一般公共预算当年拨款情况说明</w:t>
      </w:r>
    </w:p>
    <w:p>
      <w:pPr>
        <w:widowControl w:val="0"/>
        <w:wordWrap/>
        <w:adjustRightInd w:val="0"/>
        <w:snapToGrid w:val="0"/>
        <w:spacing w:line="560" w:lineRule="exact"/>
        <w:ind w:left="0" w:leftChars="0" w:right="0" w:firstLine="640" w:firstLineChars="200"/>
        <w:jc w:val="left"/>
        <w:textAlignment w:val="auto"/>
        <w:outlineLvl w:val="9"/>
        <w:rPr>
          <w:rFonts w:ascii="楷体" w:hAnsi="楷体" w:eastAsia="楷体"/>
          <w:sz w:val="32"/>
          <w:szCs w:val="32"/>
        </w:rPr>
      </w:pPr>
      <w:r>
        <w:rPr>
          <w:rFonts w:hint="eastAsia" w:ascii="楷体" w:hAnsi="楷体" w:eastAsia="楷体"/>
          <w:sz w:val="32"/>
          <w:szCs w:val="32"/>
        </w:rPr>
        <w:t>（一）一般公共预算当年规模变化情况</w:t>
      </w:r>
    </w:p>
    <w:p>
      <w:pPr>
        <w:widowControl w:val="0"/>
        <w:wordWrap/>
        <w:adjustRightInd w:val="0"/>
        <w:snapToGrid w:val="0"/>
        <w:spacing w:line="560" w:lineRule="exact"/>
        <w:ind w:left="0" w:leftChars="0" w:right="0" w:firstLine="640" w:firstLineChars="200"/>
        <w:textAlignment w:val="auto"/>
        <w:outlineLvl w:val="9"/>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2019</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14857.15</w:t>
      </w:r>
      <w:r>
        <w:rPr>
          <w:rFonts w:hint="eastAsia" w:ascii="仿宋_GB2312" w:hAnsi="黑体" w:eastAsia="仿宋_GB2312"/>
          <w:sz w:val="32"/>
          <w:szCs w:val="32"/>
        </w:rPr>
        <w:t>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5637.55</w:t>
      </w:r>
      <w:r>
        <w:rPr>
          <w:rFonts w:hint="eastAsia" w:ascii="仿宋_GB2312" w:hAnsi="黑体" w:eastAsia="仿宋_GB2312"/>
          <w:sz w:val="32"/>
          <w:szCs w:val="32"/>
        </w:rPr>
        <w:t>万元，主要是城乡社区支出增加</w:t>
      </w:r>
      <w:r>
        <w:rPr>
          <w:rFonts w:hint="eastAsia" w:ascii="仿宋_GB2312" w:hAnsi="黑体" w:eastAsia="仿宋_GB2312"/>
          <w:sz w:val="32"/>
          <w:szCs w:val="32"/>
          <w:lang w:eastAsia="zh-CN"/>
        </w:rPr>
        <w:t>。</w:t>
      </w:r>
    </w:p>
    <w:p>
      <w:pPr>
        <w:widowControl w:val="0"/>
        <w:wordWrap/>
        <w:adjustRightInd w:val="0"/>
        <w:snapToGrid w:val="0"/>
        <w:spacing w:line="560" w:lineRule="exact"/>
        <w:ind w:left="0" w:leftChars="0" w:right="0" w:firstLine="640" w:firstLineChars="200"/>
        <w:jc w:val="left"/>
        <w:textAlignment w:val="auto"/>
        <w:outlineLvl w:val="9"/>
        <w:rPr>
          <w:rFonts w:ascii="楷体" w:hAnsi="楷体" w:eastAsia="楷体"/>
          <w:sz w:val="32"/>
          <w:szCs w:val="32"/>
        </w:rPr>
      </w:pPr>
      <w:r>
        <w:rPr>
          <w:rFonts w:hint="eastAsia" w:ascii="楷体" w:hAnsi="楷体" w:eastAsia="楷体"/>
          <w:sz w:val="32"/>
          <w:szCs w:val="32"/>
        </w:rPr>
        <w:t>（二）一般公共预算当年拨款结构情况</w:t>
      </w:r>
    </w:p>
    <w:p>
      <w:pPr>
        <w:widowControl w:val="0"/>
        <w:wordWrap/>
        <w:adjustRightInd w:val="0"/>
        <w:snapToGrid w:val="0"/>
        <w:spacing w:line="560" w:lineRule="exact"/>
        <w:ind w:left="0" w:leftChars="0" w:right="0" w:firstLine="640" w:firstLineChars="200"/>
        <w:textAlignment w:val="auto"/>
        <w:outlineLvl w:val="9"/>
        <w:rPr>
          <w:rFonts w:hint="eastAsia" w:ascii="仿宋_GB2312" w:hAnsi="黑体" w:eastAsia="仿宋_GB2312"/>
          <w:sz w:val="32"/>
          <w:szCs w:val="32"/>
          <w:lang w:val="en-US" w:eastAsia="zh-CN"/>
        </w:rPr>
      </w:pPr>
      <w:r>
        <w:rPr>
          <w:rFonts w:hint="eastAsia" w:ascii="仿宋_GB2312" w:hAnsi="黑体" w:eastAsia="仿宋_GB2312" w:cs="仿宋_GB2312"/>
          <w:sz w:val="32"/>
          <w:szCs w:val="32"/>
        </w:rPr>
        <w:t>社会保障和就业（类）支出</w:t>
      </w:r>
      <w:r>
        <w:rPr>
          <w:rFonts w:hint="eastAsia" w:ascii="仿宋_GB2312" w:hAnsi="黑体" w:eastAsia="仿宋_GB2312" w:cs="仿宋_GB2312"/>
          <w:sz w:val="32"/>
          <w:szCs w:val="32"/>
          <w:lang w:val="en-US" w:eastAsia="zh-CN"/>
        </w:rPr>
        <w:t>128.00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0.86</w:t>
      </w:r>
      <w:r>
        <w:rPr>
          <w:rFonts w:hint="eastAsia" w:ascii="仿宋_GB2312" w:hAnsi="黑体" w:eastAsia="仿宋_GB2312"/>
          <w:sz w:val="32"/>
          <w:szCs w:val="32"/>
        </w:rPr>
        <w:t>%；卫生健康（类）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98.61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0.66</w:t>
      </w:r>
      <w:r>
        <w:rPr>
          <w:rFonts w:hint="eastAsia" w:ascii="仿宋_GB2312" w:hAnsi="黑体" w:eastAsia="仿宋_GB2312"/>
          <w:sz w:val="32"/>
          <w:szCs w:val="32"/>
        </w:rPr>
        <w:t>%；城乡社区（类）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14572.97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98.09</w:t>
      </w:r>
      <w:r>
        <w:rPr>
          <w:rFonts w:hint="eastAsia" w:ascii="仿宋_GB2312" w:hAnsi="黑体" w:eastAsia="仿宋_GB2312"/>
          <w:sz w:val="32"/>
          <w:szCs w:val="32"/>
        </w:rPr>
        <w:t>%；住房保障（类）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57.57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0.39</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widowControl w:val="0"/>
        <w:wordWrap/>
        <w:adjustRightInd w:val="0"/>
        <w:snapToGrid w:val="0"/>
        <w:spacing w:line="560" w:lineRule="exact"/>
        <w:ind w:left="0" w:leftChars="0" w:right="0" w:firstLine="640" w:firstLineChars="200"/>
        <w:jc w:val="left"/>
        <w:textAlignment w:val="auto"/>
        <w:outlineLvl w:val="9"/>
        <w:rPr>
          <w:rFonts w:ascii="楷体" w:hAnsi="楷体" w:eastAsia="楷体"/>
          <w:sz w:val="32"/>
          <w:szCs w:val="32"/>
        </w:rPr>
      </w:pPr>
      <w:r>
        <w:rPr>
          <w:rFonts w:hint="eastAsia" w:ascii="楷体" w:hAnsi="楷体" w:eastAsia="楷体"/>
          <w:sz w:val="32"/>
          <w:szCs w:val="32"/>
        </w:rPr>
        <w:t>（三）一般公共预算当年拨款具体使用情况</w:t>
      </w:r>
    </w:p>
    <w:p>
      <w:pPr>
        <w:widowControl w:val="0"/>
        <w:wordWrap/>
        <w:adjustRightInd w:val="0"/>
        <w:snapToGrid w:val="0"/>
        <w:spacing w:line="560" w:lineRule="exact"/>
        <w:ind w:left="0" w:leftChars="0" w:right="0" w:firstLine="640" w:firstLineChars="200"/>
        <w:textAlignment w:val="auto"/>
        <w:outlineLvl w:val="9"/>
        <w:rPr>
          <w:rFonts w:hint="eastAsia" w:ascii="仿宋_GB2312" w:hAnsi="黑体" w:eastAsia="仿宋_GB2312"/>
          <w:sz w:val="32"/>
          <w:szCs w:val="32"/>
          <w:lang w:eastAsia="zh-CN"/>
        </w:rPr>
      </w:pPr>
      <w:r>
        <w:rPr>
          <w:rFonts w:hint="eastAsia" w:ascii="仿宋_GB2312" w:hAnsi="黑体" w:eastAsia="仿宋_GB2312" w:cs="仿宋_GB2312"/>
          <w:sz w:val="32"/>
          <w:szCs w:val="32"/>
        </w:rPr>
        <w:t>1.社会保障和就业支出（类）行政事业单位离退休（款）机关事业单位基本养老保险缴费支出（项）</w:t>
      </w: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128.00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eastAsia="zh-CN"/>
        </w:rPr>
        <w:t>。</w:t>
      </w:r>
    </w:p>
    <w:p>
      <w:pPr>
        <w:widowControl w:val="0"/>
        <w:wordWrap/>
        <w:adjustRightInd w:val="0"/>
        <w:snapToGrid w:val="0"/>
        <w:spacing w:line="560" w:lineRule="exact"/>
        <w:ind w:left="0" w:leftChars="0" w:right="0" w:firstLine="640" w:firstLineChars="200"/>
        <w:textAlignment w:val="auto"/>
        <w:outlineLvl w:val="9"/>
        <w:rPr>
          <w:rFonts w:hint="eastAsia" w:ascii="仿宋_GB2312" w:hAnsi="黑体" w:eastAsia="仿宋_GB2312"/>
          <w:sz w:val="32"/>
          <w:szCs w:val="32"/>
          <w:lang w:eastAsia="zh-CN"/>
        </w:rPr>
      </w:pPr>
      <w:r>
        <w:rPr>
          <w:rFonts w:hint="eastAsia" w:ascii="仿宋_GB2312" w:hAnsi="黑体" w:eastAsia="仿宋_GB2312"/>
          <w:sz w:val="32"/>
          <w:szCs w:val="32"/>
        </w:rPr>
        <w:t>2.卫生健康支出</w:t>
      </w:r>
      <w:r>
        <w:rPr>
          <w:rFonts w:hint="eastAsia" w:ascii="仿宋_GB2312" w:hAnsi="黑体" w:eastAsia="仿宋_GB2312" w:cs="仿宋_GB2312"/>
          <w:sz w:val="32"/>
          <w:szCs w:val="32"/>
        </w:rPr>
        <w:t>（类）行政事业单位医疗（款）行政单位医疗（项）</w:t>
      </w: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14.66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1.93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保险缴费标准调整。</w:t>
      </w:r>
    </w:p>
    <w:p>
      <w:pPr>
        <w:widowControl w:val="0"/>
        <w:wordWrap/>
        <w:adjustRightInd w:val="0"/>
        <w:snapToGrid w:val="0"/>
        <w:spacing w:line="560" w:lineRule="exact"/>
        <w:ind w:left="0" w:leftChars="0" w:right="0" w:firstLine="640" w:firstLineChars="200"/>
        <w:textAlignment w:val="auto"/>
        <w:outlineLvl w:val="9"/>
        <w:rPr>
          <w:rFonts w:ascii="仿宋_GB2312" w:hAnsi="黑体" w:eastAsia="仿宋_GB2312"/>
          <w:sz w:val="32"/>
          <w:szCs w:val="32"/>
        </w:rPr>
      </w:pPr>
      <w:r>
        <w:rPr>
          <w:rFonts w:hint="eastAsia" w:ascii="仿宋_GB2312" w:hAnsi="黑体" w:eastAsia="仿宋_GB2312" w:cs="仿宋_GB2312"/>
          <w:sz w:val="32"/>
          <w:szCs w:val="32"/>
          <w:lang w:val="en-US" w:eastAsia="zh-CN"/>
        </w:rPr>
        <w:t>3.卫生健康支出</w:t>
      </w:r>
      <w:r>
        <w:rPr>
          <w:rFonts w:hint="eastAsia" w:ascii="仿宋_GB2312" w:hAnsi="黑体" w:eastAsia="仿宋_GB2312" w:cs="仿宋_GB2312"/>
          <w:sz w:val="32"/>
          <w:szCs w:val="32"/>
        </w:rPr>
        <w:t>（类）行政事业单位医疗（款）事业单位医疗（项）</w:t>
      </w: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3.95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0.60</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保险缴费标准调整。</w:t>
      </w:r>
    </w:p>
    <w:p>
      <w:pPr>
        <w:widowControl w:val="0"/>
        <w:wordWrap/>
        <w:adjustRightInd w:val="0"/>
        <w:snapToGrid w:val="0"/>
        <w:spacing w:line="560" w:lineRule="exact"/>
        <w:ind w:left="0" w:leftChars="0" w:right="0" w:firstLine="640" w:firstLineChars="200"/>
        <w:textAlignment w:val="auto"/>
        <w:outlineLvl w:val="9"/>
        <w:rPr>
          <w:rFonts w:ascii="仿宋_GB2312" w:hAnsi="黑体" w:eastAsia="仿宋_GB2312"/>
          <w:sz w:val="32"/>
          <w:szCs w:val="32"/>
        </w:rPr>
      </w:pPr>
      <w:r>
        <w:rPr>
          <w:rFonts w:hint="eastAsia" w:ascii="仿宋_GB2312" w:hAnsi="黑体" w:eastAsia="仿宋_GB2312" w:cs="仿宋_GB2312"/>
          <w:sz w:val="32"/>
          <w:szCs w:val="32"/>
          <w:lang w:val="en-US" w:eastAsia="zh-CN"/>
        </w:rPr>
        <w:t>4.卫生健康支出</w:t>
      </w:r>
      <w:r>
        <w:rPr>
          <w:rFonts w:hint="eastAsia" w:ascii="仿宋_GB2312" w:hAnsi="黑体" w:eastAsia="仿宋_GB2312" w:cs="仿宋_GB2312"/>
          <w:sz w:val="32"/>
          <w:szCs w:val="32"/>
        </w:rPr>
        <w:t>（类）行政事业单位医疗（款）公务员医疗补助（项）</w:t>
      </w: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80.00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3.00</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保险缴费标准调整。</w:t>
      </w:r>
    </w:p>
    <w:p>
      <w:pPr>
        <w:widowControl w:val="0"/>
        <w:wordWrap/>
        <w:adjustRightInd w:val="0"/>
        <w:snapToGrid w:val="0"/>
        <w:spacing w:line="560" w:lineRule="exact"/>
        <w:ind w:left="0" w:leftChars="0" w:right="0" w:firstLine="640" w:firstLineChars="200"/>
        <w:textAlignment w:val="auto"/>
        <w:outlineLvl w:val="9"/>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5.城乡社区支出</w:t>
      </w:r>
      <w:r>
        <w:rPr>
          <w:rFonts w:hint="eastAsia" w:ascii="仿宋_GB2312" w:hAnsi="黑体" w:eastAsia="仿宋_GB2312" w:cs="仿宋_GB2312"/>
          <w:sz w:val="32"/>
          <w:szCs w:val="32"/>
        </w:rPr>
        <w:t>（类）城乡社区管理事务（款）行政运行（项）</w:t>
      </w: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438.10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78.11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机关运行费用控制。</w:t>
      </w:r>
    </w:p>
    <w:p>
      <w:pPr>
        <w:widowControl w:val="0"/>
        <w:wordWrap/>
        <w:adjustRightInd w:val="0"/>
        <w:snapToGrid w:val="0"/>
        <w:spacing w:line="560" w:lineRule="exact"/>
        <w:ind w:left="0" w:leftChars="0" w:right="0" w:firstLine="640" w:firstLineChars="200"/>
        <w:textAlignment w:val="auto"/>
        <w:outlineLvl w:val="9"/>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6.城乡社区支出</w:t>
      </w:r>
      <w:r>
        <w:rPr>
          <w:rFonts w:hint="eastAsia" w:ascii="仿宋_GB2312" w:hAnsi="黑体" w:eastAsia="仿宋_GB2312" w:cs="仿宋_GB2312"/>
          <w:sz w:val="32"/>
          <w:szCs w:val="32"/>
        </w:rPr>
        <w:t>（类）城乡社区环境卫生（款）城乡社区环境卫生（项）</w:t>
      </w: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14134.87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5728.27</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部门预算项目支出增加。</w:t>
      </w:r>
    </w:p>
    <w:p>
      <w:pPr>
        <w:widowControl w:val="0"/>
        <w:wordWrap/>
        <w:adjustRightInd w:val="0"/>
        <w:snapToGrid w:val="0"/>
        <w:spacing w:line="560" w:lineRule="exact"/>
        <w:ind w:left="0" w:leftChars="0" w:right="0" w:firstLine="640" w:firstLineChars="200"/>
        <w:textAlignment w:val="auto"/>
        <w:outlineLvl w:val="9"/>
        <w:rPr>
          <w:rFonts w:ascii="仿宋_GB2312" w:hAnsi="黑体" w:eastAsia="仿宋_GB2312"/>
          <w:sz w:val="32"/>
          <w:szCs w:val="32"/>
        </w:rPr>
      </w:pPr>
      <w:r>
        <w:rPr>
          <w:rFonts w:hint="eastAsia" w:ascii="仿宋_GB2312" w:hAnsi="黑体" w:eastAsia="仿宋_GB2312" w:cs="仿宋_GB2312"/>
          <w:sz w:val="32"/>
          <w:szCs w:val="32"/>
          <w:lang w:val="en-US" w:eastAsia="zh-CN"/>
        </w:rPr>
        <w:t>7.住房保障支出</w:t>
      </w:r>
      <w:r>
        <w:rPr>
          <w:rFonts w:hint="eastAsia" w:ascii="仿宋_GB2312" w:hAnsi="黑体" w:eastAsia="仿宋_GB2312" w:cs="仿宋_GB2312"/>
          <w:sz w:val="32"/>
          <w:szCs w:val="32"/>
        </w:rPr>
        <w:t>（类）住房改革支出（款）住房公积金（项）</w:t>
      </w: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57.57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11.10</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公积金缴费标准调整。</w:t>
      </w:r>
    </w:p>
    <w:p>
      <w:pPr>
        <w:widowControl w:val="0"/>
        <w:wordWrap/>
        <w:adjustRightInd w:val="0"/>
        <w:snapToGrid w:val="0"/>
        <w:spacing w:line="560" w:lineRule="exact"/>
        <w:ind w:left="0" w:leftChars="0" w:right="0" w:firstLine="640" w:firstLineChars="200"/>
        <w:textAlignment w:val="auto"/>
        <w:outlineLvl w:val="9"/>
        <w:rPr>
          <w:rFonts w:ascii="黑体" w:hAnsi="黑体" w:eastAsia="黑体"/>
          <w:sz w:val="32"/>
          <w:szCs w:val="32"/>
        </w:rPr>
      </w:pPr>
      <w:r>
        <w:rPr>
          <w:rFonts w:hint="eastAsia" w:ascii="黑体" w:hAnsi="黑体" w:eastAsia="黑体"/>
          <w:sz w:val="32"/>
          <w:szCs w:val="32"/>
        </w:rPr>
        <w:t>三、一般公共预算基本支出情况说明</w:t>
      </w:r>
    </w:p>
    <w:p>
      <w:pPr>
        <w:widowControl w:val="0"/>
        <w:wordWrap/>
        <w:adjustRightInd w:val="0"/>
        <w:snapToGrid w:val="0"/>
        <w:spacing w:line="560" w:lineRule="exact"/>
        <w:ind w:left="0" w:leftChars="0" w:right="0" w:firstLine="640" w:firstLineChars="200"/>
        <w:textAlignment w:val="auto"/>
        <w:outlineLvl w:val="9"/>
        <w:rPr>
          <w:rFonts w:ascii="仿宋_GB2312" w:hAnsi="黑体" w:eastAsia="仿宋_GB2312"/>
          <w:sz w:val="32"/>
          <w:szCs w:val="32"/>
        </w:rPr>
      </w:pPr>
      <w:r>
        <w:rPr>
          <w:rFonts w:hint="eastAsia" w:ascii="仿宋_GB2312" w:hAnsi="黑体" w:eastAsia="仿宋_GB2312"/>
          <w:sz w:val="32"/>
          <w:szCs w:val="32"/>
          <w:lang w:val="en-US" w:eastAsia="zh-CN"/>
        </w:rPr>
        <w:t>2019</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852.38</w:t>
      </w:r>
      <w:r>
        <w:rPr>
          <w:rFonts w:hint="eastAsia" w:ascii="仿宋_GB2312" w:hAnsi="黑体" w:eastAsia="仿宋_GB2312"/>
          <w:sz w:val="32"/>
          <w:szCs w:val="32"/>
        </w:rPr>
        <w:t>万元，其中：</w:t>
      </w:r>
    </w:p>
    <w:p>
      <w:pPr>
        <w:widowControl w:val="0"/>
        <w:wordWrap/>
        <w:adjustRightInd w:val="0"/>
        <w:snapToGrid w:val="0"/>
        <w:spacing w:line="560" w:lineRule="exact"/>
        <w:ind w:left="0" w:leftChars="0" w:right="0" w:firstLine="640" w:firstLineChars="200"/>
        <w:textAlignment w:val="auto"/>
        <w:outlineLvl w:val="9"/>
        <w:rPr>
          <w:rFonts w:hint="eastAsia" w:ascii="仿宋_GB2312" w:hAnsi="黑体" w:eastAsia="仿宋_GB2312"/>
          <w:sz w:val="32"/>
          <w:szCs w:val="32"/>
          <w:lang w:eastAsia="zh-CN"/>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773.81</w:t>
      </w:r>
      <w:r>
        <w:rPr>
          <w:rFonts w:hint="eastAsia" w:ascii="仿宋_GB2312" w:hAnsi="黑体" w:eastAsia="仿宋_GB2312"/>
          <w:sz w:val="32"/>
          <w:szCs w:val="32"/>
        </w:rPr>
        <w:t>万元，主要包括：基本工资、津贴补贴、奖金、绩效工资</w:t>
      </w:r>
      <w:r>
        <w:rPr>
          <w:rFonts w:hint="eastAsia" w:ascii="仿宋_GB2312" w:hAnsi="黑体" w:eastAsia="仿宋_GB2312"/>
          <w:sz w:val="32"/>
          <w:szCs w:val="32"/>
          <w:lang w:eastAsia="zh-CN"/>
        </w:rPr>
        <w:t>、</w:t>
      </w:r>
      <w:r>
        <w:rPr>
          <w:rFonts w:hint="eastAsia" w:ascii="仿宋_GB2312" w:hAnsi="黑体" w:eastAsia="仿宋_GB2312"/>
          <w:sz w:val="32"/>
          <w:szCs w:val="32"/>
        </w:rPr>
        <w:t>机关事业单位基本养老保险缴费、城镇职工基本医疗保险缴费</w:t>
      </w:r>
      <w:r>
        <w:rPr>
          <w:rFonts w:hint="eastAsia" w:ascii="仿宋_GB2312" w:hAnsi="黑体" w:eastAsia="仿宋_GB2312"/>
          <w:sz w:val="32"/>
          <w:szCs w:val="32"/>
          <w:lang w:eastAsia="zh-CN"/>
        </w:rPr>
        <w:t>、公务员医疗补助缴费、其他社会保障缴费、住房公积金、生活补助和奖励金。</w:t>
      </w:r>
    </w:p>
    <w:p>
      <w:pPr>
        <w:widowControl w:val="0"/>
        <w:wordWrap/>
        <w:adjustRightInd w:val="0"/>
        <w:snapToGrid w:val="0"/>
        <w:spacing w:line="560" w:lineRule="exact"/>
        <w:ind w:left="0" w:leftChars="0" w:right="0" w:firstLine="640" w:firstLineChars="200"/>
        <w:textAlignment w:val="auto"/>
        <w:outlineLvl w:val="9"/>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78.57</w:t>
      </w:r>
      <w:r>
        <w:rPr>
          <w:rFonts w:hint="eastAsia" w:ascii="仿宋_GB2312" w:hAnsi="黑体" w:eastAsia="仿宋_GB2312"/>
          <w:sz w:val="32"/>
          <w:szCs w:val="32"/>
        </w:rPr>
        <w:t>万元，主要包括：办公费、</w:t>
      </w:r>
      <w:r>
        <w:rPr>
          <w:rFonts w:hint="eastAsia" w:ascii="仿宋_GB2312" w:hAnsi="黑体" w:eastAsia="仿宋_GB2312"/>
          <w:sz w:val="32"/>
          <w:szCs w:val="32"/>
          <w:lang w:eastAsia="zh-CN"/>
        </w:rPr>
        <w:t>邮电费、会议费、培训费、工会经费、福利费、公务用车运行维护费、其他交通费用和其他商品和服务支出</w:t>
      </w:r>
      <w:r>
        <w:rPr>
          <w:rFonts w:hint="eastAsia" w:ascii="仿宋_GB2312" w:hAnsi="黑体" w:eastAsia="仿宋_GB2312"/>
          <w:sz w:val="32"/>
          <w:szCs w:val="32"/>
        </w:rPr>
        <w:t>。</w:t>
      </w:r>
    </w:p>
    <w:p>
      <w:pPr>
        <w:widowControl w:val="0"/>
        <w:wordWrap/>
        <w:adjustRightInd w:val="0"/>
        <w:snapToGrid w:val="0"/>
        <w:spacing w:line="560" w:lineRule="exact"/>
        <w:ind w:left="0" w:leftChars="0" w:right="0" w:firstLine="640" w:firstLineChars="200"/>
        <w:textAlignment w:val="auto"/>
        <w:outlineLvl w:val="9"/>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widowControl w:val="0"/>
        <w:wordWrap/>
        <w:adjustRightInd w:val="0"/>
        <w:snapToGrid w:val="0"/>
        <w:spacing w:line="560" w:lineRule="exact"/>
        <w:ind w:left="0" w:leftChars="0" w:right="0" w:firstLine="640" w:firstLineChars="200"/>
        <w:textAlignment w:val="auto"/>
        <w:outlineLvl w:val="9"/>
        <w:rPr>
          <w:rFonts w:ascii="仿宋_GB2312" w:hAnsi="黑体" w:eastAsia="仿宋_GB2312" w:cs="Times New Roman"/>
          <w:sz w:val="32"/>
          <w:szCs w:val="32"/>
        </w:rPr>
      </w:pPr>
      <w:r>
        <w:rPr>
          <w:rFonts w:hint="eastAsia" w:ascii="仿宋_GB2312" w:hAnsi="黑体" w:eastAsia="仿宋_GB2312"/>
          <w:sz w:val="32"/>
          <w:szCs w:val="32"/>
          <w:lang w:val="en-US" w:eastAsia="zh-CN"/>
        </w:rPr>
        <w:t>2019</w:t>
      </w:r>
      <w:r>
        <w:rPr>
          <w:rFonts w:hint="eastAsia" w:ascii="仿宋_GB2312" w:hAnsi="黑体" w:eastAsia="仿宋_GB2312"/>
          <w:sz w:val="32"/>
          <w:szCs w:val="32"/>
        </w:rPr>
        <w:t>年“三公”经费预算数为</w:t>
      </w:r>
      <w:r>
        <w:rPr>
          <w:rFonts w:hint="eastAsia" w:ascii="仿宋_GB2312" w:hAnsi="黑体" w:eastAsia="仿宋_GB2312" w:cs="仿宋_GB2312"/>
          <w:sz w:val="32"/>
          <w:szCs w:val="32"/>
          <w:lang w:val="en-US" w:eastAsia="zh-CN"/>
        </w:rPr>
        <w:t>2.42</w:t>
      </w:r>
      <w:r>
        <w:rPr>
          <w:rFonts w:hint="eastAsia" w:ascii="仿宋_GB2312" w:hAnsi="黑体" w:eastAsia="仿宋_GB2312"/>
          <w:sz w:val="32"/>
          <w:szCs w:val="32"/>
        </w:rPr>
        <w:t>万元，其中：</w:t>
      </w:r>
    </w:p>
    <w:p>
      <w:pPr>
        <w:widowControl w:val="0"/>
        <w:wordWrap/>
        <w:adjustRightInd w:val="0"/>
        <w:snapToGrid w:val="0"/>
        <w:spacing w:line="560" w:lineRule="exact"/>
        <w:ind w:left="0" w:leftChars="0" w:right="0" w:firstLine="640" w:firstLineChars="200"/>
        <w:textAlignment w:val="auto"/>
        <w:outlineLvl w:val="9"/>
        <w:rPr>
          <w:rFonts w:hint="eastAsia" w:ascii="Times New Roman" w:hAnsi="Times New Roman" w:eastAsia="仿宋_GB2312" w:cs="Times New Roman"/>
          <w:sz w:val="32"/>
          <w:shd w:val="clear" w:color="auto" w:fill="FFFFFF"/>
          <w:lang w:eastAsia="zh-CN"/>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,与上年预算持平</w:t>
      </w:r>
      <w:r>
        <w:rPr>
          <w:rFonts w:hint="eastAsia" w:ascii="仿宋_GB2312" w:hAnsi="黑体" w:eastAsia="仿宋_GB2312"/>
          <w:sz w:val="32"/>
          <w:szCs w:val="32"/>
          <w:lang w:eastAsia="zh-CN"/>
        </w:rPr>
        <w:t>。根据外事部门安排的</w:t>
      </w:r>
      <w:r>
        <w:rPr>
          <w:rFonts w:hint="eastAsia" w:ascii="仿宋_GB2312" w:hAnsi="黑体" w:eastAsia="仿宋_GB2312"/>
          <w:sz w:val="32"/>
          <w:szCs w:val="32"/>
          <w:lang w:val="en-US" w:eastAsia="zh-CN"/>
        </w:rPr>
        <w:t>2019</w:t>
      </w:r>
      <w:r>
        <w:rPr>
          <w:rFonts w:hint="eastAsia" w:ascii="仿宋_GB2312" w:hAnsi="黑体" w:eastAsia="仿宋_GB2312"/>
          <w:sz w:val="32"/>
          <w:szCs w:val="32"/>
          <w:lang w:eastAsia="zh-CN"/>
        </w:rPr>
        <w:t>年出国计划，拟安排出国（境）组</w:t>
      </w:r>
      <w:r>
        <w:rPr>
          <w:rFonts w:hint="eastAsia" w:ascii="仿宋_GB2312" w:hAnsi="黑体" w:eastAsia="仿宋_GB2312"/>
          <w:sz w:val="32"/>
          <w:szCs w:val="32"/>
          <w:lang w:val="en-US" w:eastAsia="zh-CN"/>
        </w:rPr>
        <w:t>0</w:t>
      </w:r>
      <w:r>
        <w:rPr>
          <w:rFonts w:hint="eastAsia" w:ascii="仿宋_GB2312" w:hAnsi="黑体" w:eastAsia="仿宋_GB2312"/>
          <w:sz w:val="32"/>
          <w:szCs w:val="32"/>
          <w:lang w:eastAsia="zh-CN"/>
        </w:rPr>
        <w:t>次，出国（境）</w:t>
      </w:r>
      <w:r>
        <w:rPr>
          <w:rFonts w:hint="eastAsia" w:ascii="仿宋_GB2312" w:hAnsi="黑体" w:eastAsia="仿宋_GB2312"/>
          <w:sz w:val="32"/>
          <w:szCs w:val="32"/>
          <w:lang w:val="en-US" w:eastAsia="zh-CN"/>
        </w:rPr>
        <w:t>0</w:t>
      </w:r>
      <w:r>
        <w:rPr>
          <w:rFonts w:hint="eastAsia" w:ascii="仿宋_GB2312" w:hAnsi="黑体" w:eastAsia="仿宋_GB2312"/>
          <w:sz w:val="32"/>
          <w:szCs w:val="32"/>
          <w:lang w:eastAsia="zh-CN"/>
        </w:rPr>
        <w:t>人。无团组：目的地无，人数为</w:t>
      </w:r>
      <w:r>
        <w:rPr>
          <w:rFonts w:hint="eastAsia" w:ascii="仿宋_GB2312" w:hAnsi="黑体" w:eastAsia="仿宋_GB2312"/>
          <w:sz w:val="32"/>
          <w:szCs w:val="32"/>
          <w:lang w:val="en-US" w:eastAsia="zh-CN"/>
        </w:rPr>
        <w:t>0</w:t>
      </w:r>
      <w:r>
        <w:rPr>
          <w:rFonts w:hint="eastAsia" w:ascii="仿宋_GB2312" w:hAnsi="黑体" w:eastAsia="仿宋_GB2312"/>
          <w:sz w:val="32"/>
          <w:szCs w:val="32"/>
          <w:lang w:eastAsia="zh-CN"/>
        </w:rPr>
        <w:t>人，天数为</w:t>
      </w:r>
      <w:r>
        <w:rPr>
          <w:rFonts w:hint="eastAsia" w:ascii="仿宋_GB2312" w:hAnsi="黑体" w:eastAsia="仿宋_GB2312"/>
          <w:sz w:val="32"/>
          <w:szCs w:val="32"/>
          <w:lang w:val="en-US" w:eastAsia="zh-CN"/>
        </w:rPr>
        <w:t>0</w:t>
      </w:r>
      <w:r>
        <w:rPr>
          <w:rFonts w:hint="eastAsia" w:ascii="仿宋_GB2312" w:hAnsi="黑体" w:eastAsia="仿宋_GB2312"/>
          <w:sz w:val="32"/>
          <w:szCs w:val="32"/>
          <w:lang w:eastAsia="zh-CN"/>
        </w:rPr>
        <w:t>天，主要任务无。</w:t>
      </w:r>
    </w:p>
    <w:p>
      <w:pPr>
        <w:widowControl w:val="0"/>
        <w:wordWrap/>
        <w:adjustRightInd w:val="0"/>
        <w:snapToGrid w:val="0"/>
        <w:spacing w:line="560" w:lineRule="exact"/>
        <w:ind w:left="0" w:leftChars="0" w:right="0" w:firstLine="640" w:firstLineChars="200"/>
        <w:textAlignment w:val="auto"/>
        <w:outlineLvl w:val="9"/>
        <w:rPr>
          <w:rFonts w:hint="eastAsia" w:ascii="Times New Roman" w:hAnsi="Times New Roman" w:eastAsia="仿宋_GB2312" w:cs="Times New Roman"/>
          <w:sz w:val="32"/>
          <w:shd w:val="clear" w:color="auto" w:fill="FFFFFF"/>
          <w:lang w:eastAsia="zh-CN"/>
        </w:rPr>
      </w:pP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p>
    <w:p>
      <w:pPr>
        <w:widowControl w:val="0"/>
        <w:wordWrap/>
        <w:adjustRightInd w:val="0"/>
        <w:snapToGrid w:val="0"/>
        <w:spacing w:line="560" w:lineRule="exact"/>
        <w:ind w:left="0" w:leftChars="0" w:right="0" w:firstLine="640" w:firstLineChars="200"/>
        <w:textAlignment w:val="auto"/>
        <w:outlineLvl w:val="9"/>
        <w:rPr>
          <w:rFonts w:hint="eastAsia" w:ascii="仿宋_GB2312" w:hAnsi="黑体" w:eastAsia="仿宋_GB2312" w:cs="Times New Roman"/>
          <w:sz w:val="32"/>
          <w:szCs w:val="32"/>
          <w:lang w:eastAsia="zh-CN"/>
        </w:rPr>
      </w:pP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0.55</w:t>
      </w:r>
      <w:r>
        <w:rPr>
          <w:rFonts w:ascii="Times New Roman" w:hAnsi="Times New Roman" w:eastAsia="仿宋_GB2312" w:cs="Times New Roman"/>
          <w:sz w:val="32"/>
          <w:shd w:val="clear" w:color="auto" w:fill="FFFFFF"/>
        </w:rPr>
        <w:t>万元，较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年预算下降</w:t>
      </w:r>
      <w:r>
        <w:rPr>
          <w:rFonts w:hint="eastAsia" w:ascii="仿宋_GB2312" w:hAnsi="黑体" w:eastAsia="仿宋_GB2312" w:cs="仿宋_GB2312"/>
          <w:sz w:val="32"/>
          <w:szCs w:val="32"/>
          <w:lang w:val="en-US" w:eastAsia="zh-CN"/>
        </w:rPr>
        <w:t>65.63</w:t>
      </w:r>
      <w:r>
        <w:rPr>
          <w:rFonts w:ascii="Times New Roman" w:hAnsi="Times New Roman" w:eastAsia="仿宋_GB2312" w:cs="Times New Roman"/>
          <w:sz w:val="32"/>
          <w:shd w:val="clear" w:color="auto" w:fill="FFFFFF"/>
        </w:rPr>
        <w:t>%。</w:t>
      </w:r>
      <w:r>
        <w:rPr>
          <w:rFonts w:ascii="Times New Roman" w:hAnsi="Times New Roman" w:eastAsia="仿宋_GB2312" w:cs="Times New Roman"/>
          <w:sz w:val="32"/>
        </w:rPr>
        <w:t>下降的</w:t>
      </w:r>
      <w:r>
        <w:rPr>
          <w:rFonts w:ascii="Times New Roman" w:hAnsi="Times New Roman" w:eastAsia="仿宋_GB2312" w:cs="Times New Roman"/>
          <w:sz w:val="32"/>
          <w:shd w:val="clear" w:color="auto" w:fill="FFFFFF"/>
        </w:rPr>
        <w:t>主要原因</w:t>
      </w:r>
      <w:r>
        <w:rPr>
          <w:rFonts w:hint="eastAsia" w:ascii="Times New Roman" w:hAnsi="Times New Roman" w:eastAsia="仿宋_GB2312" w:cs="Times New Roman"/>
          <w:sz w:val="32"/>
          <w:shd w:val="clear" w:color="auto" w:fill="FFFFFF"/>
          <w:lang w:eastAsia="zh-CN"/>
        </w:rPr>
        <w:t>是我局按照上级文件精神严控公务接待经费。</w:t>
      </w:r>
    </w:p>
    <w:p>
      <w:pPr>
        <w:widowControl w:val="0"/>
        <w:wordWrap/>
        <w:adjustRightInd w:val="0"/>
        <w:snapToGrid w:val="0"/>
        <w:spacing w:line="560" w:lineRule="exact"/>
        <w:ind w:left="0" w:leftChars="0" w:right="0" w:firstLine="640" w:firstLineChars="200"/>
        <w:textAlignment w:val="auto"/>
        <w:outlineLvl w:val="9"/>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五、政府性基金预算当年拨款情况说明</w:t>
      </w:r>
    </w:p>
    <w:p>
      <w:pPr>
        <w:widowControl w:val="0"/>
        <w:wordWrap/>
        <w:adjustRightInd w:val="0"/>
        <w:snapToGrid w:val="0"/>
        <w:spacing w:line="560" w:lineRule="exact"/>
        <w:ind w:left="0" w:leftChars="0" w:right="0" w:firstLine="640" w:firstLineChars="200"/>
        <w:jc w:val="left"/>
        <w:textAlignment w:val="auto"/>
        <w:outlineLvl w:val="9"/>
        <w:rPr>
          <w:rFonts w:ascii="楷体" w:hAnsi="楷体" w:eastAsia="楷体"/>
          <w:sz w:val="32"/>
          <w:szCs w:val="32"/>
        </w:rPr>
      </w:pPr>
      <w:r>
        <w:rPr>
          <w:rFonts w:hint="eastAsia" w:ascii="楷体" w:hAnsi="楷体" w:eastAsia="楷体"/>
          <w:sz w:val="32"/>
          <w:szCs w:val="32"/>
        </w:rPr>
        <w:t>（一）政府性基金预算当年规模变化情况</w:t>
      </w:r>
    </w:p>
    <w:p>
      <w:pPr>
        <w:widowControl w:val="0"/>
        <w:wordWrap/>
        <w:adjustRightInd w:val="0"/>
        <w:snapToGrid w:val="0"/>
        <w:spacing w:line="560" w:lineRule="exact"/>
        <w:ind w:left="0" w:leftChars="0" w:right="0" w:firstLine="640" w:firstLineChars="200"/>
        <w:textAlignment w:val="auto"/>
        <w:outlineLvl w:val="9"/>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2019</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451.00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eastAsia="zh-CN"/>
        </w:rPr>
        <w:t>。</w:t>
      </w:r>
    </w:p>
    <w:p>
      <w:pPr>
        <w:widowControl w:val="0"/>
        <w:wordWrap/>
        <w:adjustRightInd w:val="0"/>
        <w:snapToGrid w:val="0"/>
        <w:spacing w:line="560" w:lineRule="exact"/>
        <w:ind w:left="0" w:leftChars="0" w:right="0" w:firstLine="640" w:firstLineChars="200"/>
        <w:jc w:val="left"/>
        <w:textAlignment w:val="auto"/>
        <w:outlineLvl w:val="9"/>
        <w:rPr>
          <w:rFonts w:ascii="楷体" w:hAnsi="楷体" w:eastAsia="楷体"/>
          <w:sz w:val="32"/>
          <w:szCs w:val="32"/>
        </w:rPr>
      </w:pPr>
      <w:r>
        <w:rPr>
          <w:rFonts w:hint="eastAsia" w:ascii="楷体" w:hAnsi="楷体" w:eastAsia="楷体"/>
          <w:sz w:val="32"/>
          <w:szCs w:val="32"/>
        </w:rPr>
        <w:t>（二）政府性基金预算当年拨款结构情况</w:t>
      </w:r>
    </w:p>
    <w:p>
      <w:pPr>
        <w:widowControl w:val="0"/>
        <w:wordWrap/>
        <w:adjustRightInd w:val="0"/>
        <w:snapToGrid w:val="0"/>
        <w:spacing w:line="560" w:lineRule="exact"/>
        <w:ind w:left="0" w:leftChars="0" w:right="0" w:firstLine="640" w:firstLineChars="200"/>
        <w:textAlignment w:val="auto"/>
        <w:outlineLvl w:val="9"/>
        <w:rPr>
          <w:rFonts w:ascii="仿宋_GB2312" w:hAnsi="黑体" w:eastAsia="仿宋_GB2312"/>
          <w:sz w:val="32"/>
          <w:szCs w:val="32"/>
        </w:rPr>
      </w:pPr>
      <w:r>
        <w:rPr>
          <w:rFonts w:hint="eastAsia" w:ascii="仿宋_GB2312" w:hAnsi="黑体" w:eastAsia="仿宋_GB2312" w:cs="仿宋_GB2312"/>
          <w:sz w:val="32"/>
          <w:szCs w:val="32"/>
        </w:rPr>
        <w:t>城乡社区支出451.00</w:t>
      </w:r>
      <w:r>
        <w:rPr>
          <w:rFonts w:hint="eastAsia" w:ascii="仿宋_GB2312" w:hAnsi="黑体" w:eastAsia="仿宋_GB2312"/>
          <w:sz w:val="32"/>
          <w:szCs w:val="32"/>
        </w:rPr>
        <w:t>万元，占</w:t>
      </w:r>
      <w:r>
        <w:rPr>
          <w:rFonts w:hint="eastAsia" w:ascii="仿宋_GB2312" w:hAnsi="黑体" w:eastAsia="仿宋_GB2312" w:cs="仿宋_GB2312"/>
          <w:sz w:val="32"/>
          <w:szCs w:val="32"/>
        </w:rPr>
        <w:t>100.00</w:t>
      </w:r>
      <w:r>
        <w:rPr>
          <w:rFonts w:hint="eastAsia" w:ascii="仿宋_GB2312" w:hAnsi="黑体" w:eastAsia="仿宋_GB2312"/>
          <w:sz w:val="32"/>
          <w:szCs w:val="32"/>
        </w:rPr>
        <w:t>%。</w:t>
      </w:r>
    </w:p>
    <w:p>
      <w:pPr>
        <w:widowControl w:val="0"/>
        <w:wordWrap/>
        <w:adjustRightInd w:val="0"/>
        <w:snapToGrid w:val="0"/>
        <w:spacing w:line="560" w:lineRule="exact"/>
        <w:ind w:left="0" w:leftChars="0" w:right="0" w:firstLine="640" w:firstLineChars="200"/>
        <w:jc w:val="left"/>
        <w:textAlignment w:val="auto"/>
        <w:outlineLvl w:val="9"/>
        <w:rPr>
          <w:rFonts w:ascii="楷体" w:hAnsi="楷体" w:eastAsia="楷体"/>
          <w:sz w:val="32"/>
          <w:szCs w:val="32"/>
        </w:rPr>
      </w:pPr>
      <w:r>
        <w:rPr>
          <w:rFonts w:hint="eastAsia" w:ascii="楷体" w:hAnsi="楷体" w:eastAsia="楷体"/>
          <w:sz w:val="32"/>
          <w:szCs w:val="32"/>
        </w:rPr>
        <w:t>（三）政府性基金预算当年拨款具体使用情况</w:t>
      </w:r>
    </w:p>
    <w:p>
      <w:pPr>
        <w:widowControl w:val="0"/>
        <w:wordWrap/>
        <w:adjustRightInd w:val="0"/>
        <w:snapToGrid w:val="0"/>
        <w:spacing w:line="560" w:lineRule="exact"/>
        <w:ind w:left="0" w:leftChars="0" w:right="0" w:firstLine="640" w:firstLineChars="200"/>
        <w:textAlignment w:val="auto"/>
        <w:outlineLvl w:val="9"/>
        <w:rPr>
          <w:rFonts w:hint="eastAsia" w:ascii="仿宋_GB2312" w:hAnsi="黑体" w:eastAsia="仿宋_GB2312"/>
          <w:sz w:val="32"/>
          <w:szCs w:val="32"/>
          <w:lang w:eastAsia="zh-CN"/>
        </w:rPr>
      </w:pPr>
      <w:r>
        <w:rPr>
          <w:rFonts w:hint="eastAsia" w:ascii="仿宋_GB2312" w:hAnsi="黑体" w:eastAsia="仿宋_GB2312" w:cs="仿宋_GB2312"/>
          <w:sz w:val="32"/>
          <w:szCs w:val="32"/>
        </w:rPr>
        <w:t>城乡社区支出（类）城乡社区环境卫生（款）城乡社区环境卫生（项）</w:t>
      </w: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451.00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eastAsia="zh-CN"/>
        </w:rPr>
        <w:t>。</w:t>
      </w:r>
    </w:p>
    <w:p>
      <w:pPr>
        <w:widowControl w:val="0"/>
        <w:wordWrap/>
        <w:adjustRightInd w:val="0"/>
        <w:snapToGrid w:val="0"/>
        <w:spacing w:line="560" w:lineRule="exact"/>
        <w:ind w:left="0" w:leftChars="0" w:right="0" w:firstLine="640" w:firstLineChars="200"/>
        <w:textAlignment w:val="auto"/>
        <w:outlineLvl w:val="9"/>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六、收支预算情况的总体说明</w:t>
      </w:r>
    </w:p>
    <w:p>
      <w:pPr>
        <w:widowControl w:val="0"/>
        <w:wordWrap/>
        <w:adjustRightInd w:val="0"/>
        <w:snapToGrid w:val="0"/>
        <w:spacing w:line="560" w:lineRule="exact"/>
        <w:ind w:left="0" w:leftChars="0" w:right="0" w:firstLine="640" w:firstLineChars="200"/>
        <w:textAlignment w:val="auto"/>
        <w:outlineLvl w:val="9"/>
        <w:rPr>
          <w:rFonts w:ascii="仿宋_GB2312" w:hAnsi="黑体" w:eastAsia="仿宋_GB2312"/>
          <w:sz w:val="32"/>
          <w:szCs w:val="32"/>
        </w:rPr>
      </w:pPr>
      <w:r>
        <w:rPr>
          <w:rFonts w:hint="eastAsia" w:ascii="仿宋_GB2312" w:hAnsi="黑体" w:eastAsia="仿宋_GB2312" w:cs="仿宋_GB2312"/>
          <w:sz w:val="32"/>
          <w:szCs w:val="32"/>
        </w:rPr>
        <w:t>按照综合预算原则，所有收入和支出均纳入部门预算管理。收入包括：一般公共预算收入</w:t>
      </w:r>
      <w:r>
        <w:rPr>
          <w:rFonts w:hint="eastAsia" w:ascii="仿宋_GB2312" w:hAnsi="黑体" w:eastAsia="仿宋_GB2312" w:cs="仿宋_GB2312"/>
          <w:sz w:val="32"/>
          <w:szCs w:val="32"/>
          <w:lang w:eastAsia="zh-CN"/>
        </w:rPr>
        <w:t>和</w:t>
      </w:r>
      <w:r>
        <w:rPr>
          <w:rFonts w:hint="eastAsia" w:ascii="仿宋_GB2312" w:hAnsi="黑体" w:eastAsia="仿宋_GB2312" w:cs="仿宋_GB2312"/>
          <w:sz w:val="32"/>
          <w:szCs w:val="32"/>
        </w:rPr>
        <w:t>政府性基金收入</w:t>
      </w:r>
      <w:r>
        <w:rPr>
          <w:rFonts w:hint="eastAsia" w:ascii="仿宋_GB2312" w:hAnsi="黑体" w:eastAsia="仿宋_GB2312"/>
          <w:sz w:val="32"/>
          <w:szCs w:val="32"/>
        </w:rPr>
        <w:t>；支出包括：社会保障和就业支出</w:t>
      </w:r>
      <w:r>
        <w:rPr>
          <w:rFonts w:hint="eastAsia" w:ascii="仿宋_GB2312" w:hAnsi="黑体" w:eastAsia="仿宋_GB2312"/>
          <w:sz w:val="32"/>
          <w:szCs w:val="32"/>
          <w:lang w:eastAsia="zh-CN"/>
        </w:rPr>
        <w:t>、卫生健康支出、城乡社区支出和住房保障支出</w:t>
      </w:r>
      <w:r>
        <w:rPr>
          <w:rFonts w:hint="eastAsia" w:ascii="仿宋_GB2312" w:hAnsi="黑体" w:eastAsia="仿宋_GB2312"/>
          <w:sz w:val="32"/>
          <w:szCs w:val="32"/>
        </w:rPr>
        <w:t>。</w:t>
      </w: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15308.15</w:t>
      </w:r>
      <w:r>
        <w:rPr>
          <w:rFonts w:hint="eastAsia" w:ascii="仿宋_GB2312" w:hAnsi="黑体" w:eastAsia="仿宋_GB2312"/>
          <w:sz w:val="32"/>
          <w:szCs w:val="32"/>
        </w:rPr>
        <w:t>万元。</w:t>
      </w:r>
    </w:p>
    <w:p>
      <w:pPr>
        <w:widowControl w:val="0"/>
        <w:wordWrap/>
        <w:adjustRightInd w:val="0"/>
        <w:snapToGrid w:val="0"/>
        <w:spacing w:line="560" w:lineRule="exact"/>
        <w:ind w:left="0" w:leftChars="0" w:right="0" w:firstLine="640" w:firstLineChars="200"/>
        <w:textAlignment w:val="auto"/>
        <w:outlineLvl w:val="9"/>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七、收入预算情况说明</w:t>
      </w:r>
    </w:p>
    <w:p>
      <w:pPr>
        <w:widowControl w:val="0"/>
        <w:wordWrap/>
        <w:adjustRightInd w:val="0"/>
        <w:snapToGrid w:val="0"/>
        <w:spacing w:line="560" w:lineRule="exact"/>
        <w:ind w:left="0" w:leftChars="0" w:right="0" w:firstLine="640" w:firstLineChars="200"/>
        <w:textAlignment w:val="auto"/>
        <w:outlineLvl w:val="9"/>
        <w:rPr>
          <w:rFonts w:ascii="仿宋_GB2312" w:hAnsi="黑体" w:eastAsia="仿宋_GB2312"/>
          <w:sz w:val="32"/>
          <w:szCs w:val="32"/>
        </w:rPr>
      </w:pP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15308.15</w:t>
      </w:r>
      <w:r>
        <w:rPr>
          <w:rFonts w:hint="eastAsia" w:ascii="仿宋_GB2312" w:hAnsi="黑体" w:eastAsia="仿宋_GB2312"/>
          <w:sz w:val="32"/>
          <w:szCs w:val="32"/>
        </w:rPr>
        <w:t>万元，其中：一般公共预算收入</w:t>
      </w:r>
      <w:r>
        <w:rPr>
          <w:rFonts w:hint="eastAsia" w:ascii="仿宋_GB2312" w:hAnsi="黑体" w:eastAsia="仿宋_GB2312" w:cs="仿宋_GB2312"/>
          <w:sz w:val="32"/>
          <w:szCs w:val="32"/>
          <w:lang w:val="en-US" w:eastAsia="zh-CN"/>
        </w:rPr>
        <w:t>14857.15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97.05</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451.00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2.95</w:t>
      </w:r>
      <w:r>
        <w:rPr>
          <w:rFonts w:hint="eastAsia" w:ascii="仿宋_GB2312" w:hAnsi="黑体" w:eastAsia="仿宋_GB2312"/>
          <w:sz w:val="32"/>
          <w:szCs w:val="32"/>
        </w:rPr>
        <w:t>%。</w:t>
      </w:r>
    </w:p>
    <w:p>
      <w:pPr>
        <w:widowControl w:val="0"/>
        <w:wordWrap/>
        <w:adjustRightInd w:val="0"/>
        <w:snapToGrid w:val="0"/>
        <w:spacing w:line="560" w:lineRule="exact"/>
        <w:ind w:left="0" w:leftChars="0" w:right="0" w:firstLine="640" w:firstLineChars="200"/>
        <w:textAlignment w:val="auto"/>
        <w:outlineLvl w:val="9"/>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八、支出预算情况说明</w:t>
      </w:r>
    </w:p>
    <w:p>
      <w:pPr>
        <w:widowControl w:val="0"/>
        <w:wordWrap/>
        <w:adjustRightInd w:val="0"/>
        <w:snapToGrid w:val="0"/>
        <w:spacing w:line="560" w:lineRule="exact"/>
        <w:ind w:left="0" w:leftChars="0" w:right="0" w:firstLine="640" w:firstLineChars="200"/>
        <w:textAlignment w:val="auto"/>
        <w:outlineLvl w:val="9"/>
        <w:rPr>
          <w:rFonts w:ascii="仿宋_GB2312" w:hAnsi="黑体" w:eastAsia="仿宋_GB2312"/>
          <w:sz w:val="32"/>
          <w:szCs w:val="32"/>
        </w:rPr>
      </w:pP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15308.15</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852.38</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5.57</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14455.77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94.43</w:t>
      </w:r>
      <w:r>
        <w:rPr>
          <w:rFonts w:hint="eastAsia" w:ascii="仿宋_GB2312" w:hAnsi="黑体" w:eastAsia="仿宋_GB2312"/>
          <w:sz w:val="32"/>
          <w:szCs w:val="32"/>
        </w:rPr>
        <w:t>%。</w:t>
      </w:r>
    </w:p>
    <w:p>
      <w:pPr>
        <w:widowControl w:val="0"/>
        <w:wordWrap/>
        <w:adjustRightInd w:val="0"/>
        <w:snapToGrid w:val="0"/>
        <w:spacing w:line="560" w:lineRule="exact"/>
        <w:ind w:left="0" w:leftChars="0" w:right="0" w:firstLine="640" w:firstLineChars="200"/>
        <w:textAlignment w:val="auto"/>
        <w:outlineLvl w:val="9"/>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widowControl w:val="0"/>
        <w:wordWrap/>
        <w:adjustRightInd w:val="0"/>
        <w:snapToGrid w:val="0"/>
        <w:spacing w:line="560" w:lineRule="exact"/>
        <w:ind w:left="0" w:leftChars="0" w:right="0" w:firstLine="640" w:firstLineChars="200"/>
        <w:textAlignment w:val="auto"/>
        <w:outlineLvl w:val="9"/>
        <w:rPr>
          <w:rFonts w:ascii="楷体" w:hAnsi="楷体" w:eastAsia="楷体"/>
          <w:sz w:val="32"/>
          <w:szCs w:val="32"/>
        </w:rPr>
      </w:pPr>
      <w:r>
        <w:rPr>
          <w:rFonts w:hint="eastAsia" w:ascii="楷体" w:hAnsi="楷体" w:eastAsia="楷体"/>
          <w:sz w:val="32"/>
          <w:szCs w:val="32"/>
        </w:rPr>
        <w:t>（一）机关运行经费</w:t>
      </w:r>
    </w:p>
    <w:p>
      <w:pPr>
        <w:widowControl w:val="0"/>
        <w:wordWrap/>
        <w:adjustRightInd w:val="0"/>
        <w:snapToGrid w:val="0"/>
        <w:spacing w:line="560" w:lineRule="exact"/>
        <w:ind w:left="0" w:leftChars="0" w:right="0" w:firstLine="640" w:firstLineChars="200"/>
        <w:textAlignment w:val="auto"/>
        <w:outlineLvl w:val="9"/>
        <w:rPr>
          <w:rFonts w:ascii="仿宋_GB2312" w:hAnsi="黑体" w:eastAsia="仿宋_GB2312"/>
          <w:sz w:val="32"/>
          <w:szCs w:val="32"/>
        </w:rPr>
      </w:pP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我局</w:t>
      </w:r>
      <w:r>
        <w:rPr>
          <w:rFonts w:hint="eastAsia" w:ascii="仿宋_GB2312" w:hAnsi="黑体" w:eastAsia="仿宋_GB2312" w:cs="仿宋_GB2312"/>
          <w:sz w:val="32"/>
          <w:szCs w:val="32"/>
        </w:rPr>
        <w:t>本级、</w:t>
      </w:r>
      <w:r>
        <w:rPr>
          <w:rFonts w:hint="eastAsia" w:ascii="仿宋_GB2312" w:hAnsi="黑体" w:eastAsia="仿宋_GB2312" w:cs="仿宋_GB2312"/>
          <w:sz w:val="32"/>
          <w:szCs w:val="32"/>
          <w:lang w:eastAsia="zh-CN"/>
        </w:rPr>
        <w:t>三亚市垃圾处理场</w:t>
      </w:r>
      <w:r>
        <w:rPr>
          <w:rFonts w:hint="eastAsia" w:ascii="仿宋_GB2312" w:hAnsi="黑体" w:eastAsia="仿宋_GB2312" w:cs="仿宋_GB2312"/>
          <w:sz w:val="32"/>
          <w:szCs w:val="32"/>
        </w:rPr>
        <w:t>的机关运行经费预算</w:t>
      </w:r>
      <w:r>
        <w:rPr>
          <w:rFonts w:hint="eastAsia" w:ascii="仿宋_GB2312" w:hAnsi="黑体" w:eastAsia="仿宋_GB2312" w:cs="仿宋_GB2312"/>
          <w:sz w:val="32"/>
          <w:szCs w:val="32"/>
          <w:lang w:val="en-US" w:eastAsia="zh-CN"/>
        </w:rPr>
        <w:t>14.73</w:t>
      </w:r>
      <w:r>
        <w:rPr>
          <w:rFonts w:hint="eastAsia" w:ascii="仿宋_GB2312" w:hAnsi="黑体" w:eastAsia="仿宋_GB2312"/>
          <w:sz w:val="32"/>
          <w:szCs w:val="32"/>
        </w:rPr>
        <w:t>万元。</w:t>
      </w:r>
    </w:p>
    <w:p>
      <w:pPr>
        <w:widowControl w:val="0"/>
        <w:wordWrap/>
        <w:adjustRightInd w:val="0"/>
        <w:snapToGrid w:val="0"/>
        <w:spacing w:line="560" w:lineRule="exact"/>
        <w:ind w:left="0" w:leftChars="0" w:right="0" w:firstLine="640" w:firstLineChars="200"/>
        <w:textAlignment w:val="auto"/>
        <w:outlineLvl w:val="9"/>
        <w:rPr>
          <w:rFonts w:ascii="楷体" w:hAnsi="楷体" w:eastAsia="楷体"/>
          <w:sz w:val="32"/>
          <w:szCs w:val="32"/>
        </w:rPr>
      </w:pPr>
      <w:r>
        <w:rPr>
          <w:rFonts w:hint="eastAsia" w:ascii="楷体" w:hAnsi="楷体" w:eastAsia="楷体"/>
          <w:sz w:val="32"/>
          <w:szCs w:val="32"/>
        </w:rPr>
        <w:t>（二）政府采购情况</w:t>
      </w:r>
    </w:p>
    <w:p>
      <w:pPr>
        <w:widowControl w:val="0"/>
        <w:wordWrap/>
        <w:adjustRightInd w:val="0"/>
        <w:snapToGrid w:val="0"/>
        <w:spacing w:line="560" w:lineRule="exact"/>
        <w:ind w:left="0" w:leftChars="0" w:right="0" w:firstLine="640" w:firstLineChars="200"/>
        <w:textAlignment w:val="auto"/>
        <w:outlineLvl w:val="9"/>
        <w:rPr>
          <w:rFonts w:ascii="仿宋_GB2312" w:hAnsi="黑体" w:eastAsia="仿宋_GB2312"/>
          <w:sz w:val="32"/>
          <w:szCs w:val="32"/>
        </w:rPr>
      </w:pPr>
      <w:r>
        <w:rPr>
          <w:rFonts w:hint="eastAsia" w:ascii="仿宋_GB2312" w:hAnsi="黑体" w:eastAsia="仿宋_GB2312" w:cs="仿宋_GB2312"/>
          <w:sz w:val="32"/>
          <w:szCs w:val="32"/>
        </w:rPr>
        <w:t>本级及下属各预算单位政府采购预算总额</w:t>
      </w:r>
      <w:r>
        <w:rPr>
          <w:rFonts w:hint="eastAsia" w:ascii="仿宋_GB2312" w:hAnsi="黑体" w:eastAsia="仿宋_GB2312" w:cs="仿宋_GB2312"/>
          <w:sz w:val="32"/>
          <w:szCs w:val="32"/>
          <w:lang w:val="en-US" w:eastAsia="zh-CN"/>
        </w:rPr>
        <w:t>20.77</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20.77</w:t>
      </w:r>
      <w:r>
        <w:rPr>
          <w:rFonts w:hint="eastAsia" w:ascii="仿宋_GB2312" w:hAnsi="黑体" w:eastAsia="仿宋_GB2312"/>
          <w:sz w:val="32"/>
          <w:szCs w:val="32"/>
        </w:rPr>
        <w:t>万元。</w:t>
      </w:r>
    </w:p>
    <w:p>
      <w:pPr>
        <w:widowControl w:val="0"/>
        <w:wordWrap/>
        <w:adjustRightInd w:val="0"/>
        <w:snapToGrid w:val="0"/>
        <w:spacing w:line="560" w:lineRule="exact"/>
        <w:ind w:left="0" w:leftChars="0" w:right="0" w:firstLine="640" w:firstLineChars="200"/>
        <w:textAlignment w:val="auto"/>
        <w:outlineLvl w:val="9"/>
        <w:rPr>
          <w:rFonts w:ascii="楷体" w:hAnsi="楷体" w:eastAsia="楷体"/>
          <w:sz w:val="32"/>
          <w:szCs w:val="32"/>
        </w:rPr>
      </w:pPr>
      <w:r>
        <w:rPr>
          <w:rFonts w:hint="eastAsia" w:ascii="楷体" w:hAnsi="楷体" w:eastAsia="楷体"/>
          <w:sz w:val="32"/>
          <w:szCs w:val="32"/>
        </w:rPr>
        <w:t>（三）国有资产占有使用情况</w:t>
      </w:r>
    </w:p>
    <w:p>
      <w:pPr>
        <w:widowControl w:val="0"/>
        <w:wordWrap/>
        <w:adjustRightInd w:val="0"/>
        <w:snapToGrid w:val="0"/>
        <w:spacing w:line="560" w:lineRule="exact"/>
        <w:ind w:left="0" w:leftChars="0" w:right="0" w:firstLine="640" w:firstLineChars="200"/>
        <w:textAlignment w:val="auto"/>
        <w:outlineLvl w:val="9"/>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2018</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我局</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辆，其中，机要通信应急用车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辆。</w:t>
      </w:r>
    </w:p>
    <w:p>
      <w:pPr>
        <w:widowControl w:val="0"/>
        <w:wordWrap/>
        <w:adjustRightInd w:val="0"/>
        <w:snapToGrid w:val="0"/>
        <w:spacing w:line="560" w:lineRule="exact"/>
        <w:ind w:left="0" w:leftChars="0" w:right="0" w:firstLine="640" w:firstLineChars="200"/>
        <w:textAlignment w:val="auto"/>
        <w:outlineLvl w:val="9"/>
        <w:rPr>
          <w:rFonts w:ascii="楷体" w:hAnsi="楷体" w:eastAsia="楷体"/>
          <w:sz w:val="32"/>
          <w:szCs w:val="32"/>
        </w:rPr>
      </w:pPr>
      <w:r>
        <w:rPr>
          <w:rFonts w:hint="eastAsia" w:ascii="楷体" w:hAnsi="楷体" w:eastAsia="楷体"/>
          <w:sz w:val="32"/>
          <w:szCs w:val="32"/>
        </w:rPr>
        <w:t>（四）绩效目标设置情况</w:t>
      </w:r>
    </w:p>
    <w:p>
      <w:pPr>
        <w:widowControl w:val="0"/>
        <w:wordWrap/>
        <w:adjustRightInd w:val="0"/>
        <w:snapToGrid w:val="0"/>
        <w:spacing w:line="560" w:lineRule="exact"/>
        <w:ind w:left="0" w:leftChars="0" w:right="0" w:firstLine="640" w:firstLineChars="200"/>
        <w:textAlignment w:val="auto"/>
        <w:outlineLvl w:val="9"/>
        <w:rPr>
          <w:rFonts w:ascii="仿宋_GB2312" w:hAnsi="黑体" w:eastAsia="仿宋_GB2312"/>
          <w:sz w:val="32"/>
          <w:szCs w:val="32"/>
        </w:rPr>
      </w:pPr>
      <w:r>
        <w:rPr>
          <w:rFonts w:hint="eastAsia" w:ascii="仿宋_GB2312" w:hAnsi="黑体" w:eastAsia="仿宋_GB2312" w:cs="仿宋_GB2312"/>
          <w:sz w:val="32"/>
          <w:szCs w:val="32"/>
          <w:lang w:val="en-US" w:eastAsia="zh-CN"/>
        </w:rPr>
        <w:t>2019年我局15个</w:t>
      </w:r>
      <w:r>
        <w:rPr>
          <w:rFonts w:hint="eastAsia" w:ascii="仿宋_GB2312" w:hAnsi="黑体" w:eastAsia="仿宋_GB2312" w:cs="仿宋_GB2312"/>
          <w:sz w:val="32"/>
          <w:szCs w:val="32"/>
        </w:rPr>
        <w:t>项目实行绩效目标管理，涉及一般公共预算</w:t>
      </w:r>
      <w:r>
        <w:rPr>
          <w:rFonts w:hint="eastAsia" w:ascii="仿宋_GB2312" w:hAnsi="黑体" w:eastAsia="仿宋_GB2312" w:cs="仿宋_GB2312"/>
          <w:sz w:val="32"/>
          <w:szCs w:val="32"/>
          <w:lang w:val="en-US" w:eastAsia="zh-CN"/>
        </w:rPr>
        <w:t>13896.77</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451.00</w:t>
      </w:r>
      <w:r>
        <w:rPr>
          <w:rFonts w:hint="eastAsia" w:ascii="仿宋_GB2312" w:hAnsi="黑体" w:eastAsia="仿宋_GB2312"/>
          <w:sz w:val="32"/>
          <w:szCs w:val="32"/>
        </w:rPr>
        <w:t>万元。</w:t>
      </w:r>
    </w:p>
    <w:p>
      <w:pPr>
        <w:wordWrap/>
        <w:adjustRightInd w:val="0"/>
        <w:snapToGrid w:val="0"/>
        <w:spacing w:line="560" w:lineRule="exact"/>
        <w:jc w:val="left"/>
        <w:textAlignment w:val="auto"/>
        <w:rPr>
          <w:rFonts w:ascii="仿宋_GB2312" w:hAnsi="宋体" w:eastAsia="仿宋_GB2312" w:cs="宋体"/>
          <w:color w:val="000000"/>
          <w:kern w:val="0"/>
          <w:sz w:val="32"/>
          <w:szCs w:val="30"/>
        </w:rPr>
      </w:pPr>
      <w:r>
        <w:rPr>
          <w:rFonts w:ascii="仿宋_GB2312" w:hAnsi="宋体" w:eastAsia="仿宋_GB2312" w:cs="宋体"/>
          <w:color w:val="000000"/>
          <w:kern w:val="0"/>
          <w:sz w:val="32"/>
          <w:szCs w:val="30"/>
        </w:rPr>
        <w:br w:type="page"/>
      </w:r>
    </w:p>
    <w:p>
      <w:pPr>
        <w:wordWrap/>
        <w:adjustRightInd w:val="0"/>
        <w:snapToGrid w:val="0"/>
        <w:spacing w:line="560" w:lineRule="exact"/>
        <w:jc w:val="center"/>
        <w:textAlignment w:val="auto"/>
        <w:rPr>
          <w:rFonts w:ascii="黑体" w:hAnsi="黑体" w:eastAsia="黑体"/>
          <w:b/>
          <w:sz w:val="32"/>
          <w:szCs w:val="32"/>
        </w:rPr>
      </w:pPr>
      <w:r>
        <w:rPr>
          <w:rFonts w:hint="eastAsia" w:ascii="黑体" w:hAnsi="黑体" w:eastAsia="黑体"/>
          <w:b/>
          <w:sz w:val="32"/>
          <w:szCs w:val="32"/>
        </w:rPr>
        <w:t>第四部分  名词解释</w:t>
      </w:r>
    </w:p>
    <w:p>
      <w:pPr>
        <w:wordWrap/>
        <w:adjustRightInd w:val="0"/>
        <w:snapToGrid w:val="0"/>
        <w:spacing w:line="560" w:lineRule="exact"/>
        <w:ind w:firstLine="640" w:firstLineChars="200"/>
        <w:jc w:val="left"/>
        <w:textAlignment w:val="auto"/>
        <w:rPr>
          <w:rFonts w:ascii="仿宋_GB2312" w:hAnsi="宋体" w:eastAsia="仿宋_GB2312" w:cs="宋体"/>
          <w:color w:val="000000"/>
          <w:kern w:val="0"/>
          <w:sz w:val="32"/>
          <w:szCs w:val="32"/>
        </w:rPr>
      </w:pPr>
    </w:p>
    <w:p>
      <w:pPr>
        <w:wordWrap/>
        <w:autoSpaceDE w:val="0"/>
        <w:autoSpaceDN w:val="0"/>
        <w:adjustRightInd w:val="0"/>
        <w:snapToGrid w:val="0"/>
        <w:spacing w:line="560" w:lineRule="exact"/>
        <w:ind w:firstLine="640" w:firstLineChars="200"/>
        <w:jc w:val="left"/>
        <w:textAlignment w:val="auto"/>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wordWrap/>
        <w:adjustRightInd w:val="0"/>
        <w:snapToGrid w:val="0"/>
        <w:spacing w:line="560" w:lineRule="exact"/>
        <w:ind w:firstLine="640" w:firstLineChars="200"/>
        <w:jc w:val="left"/>
        <w:textAlignment w:val="auto"/>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wordWrap/>
        <w:adjustRightInd w:val="0"/>
        <w:snapToGrid w:val="0"/>
        <w:spacing w:line="560" w:lineRule="exact"/>
        <w:ind w:firstLine="640" w:firstLineChars="200"/>
        <w:jc w:val="left"/>
        <w:textAlignment w:val="auto"/>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r>
        <w:rPr>
          <w:rFonts w:hint="eastAsia" w:ascii="仿宋_GB2312" w:hAnsi="宋体" w:eastAsia="仿宋_GB2312" w:cs="宋体"/>
          <w:color w:val="000000"/>
          <w:kern w:val="0"/>
          <w:sz w:val="32"/>
          <w:szCs w:val="32"/>
        </w:rPr>
        <w:t xml:space="preserve"> </w:t>
      </w:r>
    </w:p>
    <w:p>
      <w:pPr>
        <w:wordWrap/>
        <w:adjustRightInd w:val="0"/>
        <w:snapToGrid w:val="0"/>
        <w:spacing w:line="560" w:lineRule="exact"/>
        <w:ind w:firstLine="640" w:firstLineChars="200"/>
        <w:jc w:val="left"/>
        <w:textAlignment w:val="auto"/>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r>
        <w:rPr>
          <w:rFonts w:hint="eastAsia" w:ascii="仿宋_GB2312" w:hAnsi="宋体" w:eastAsia="仿宋_GB2312" w:cs="宋体"/>
          <w:color w:val="000000"/>
          <w:kern w:val="0"/>
          <w:sz w:val="32"/>
          <w:szCs w:val="32"/>
        </w:rPr>
        <w:t xml:space="preserve"> </w:t>
      </w:r>
    </w:p>
    <w:p>
      <w:pPr>
        <w:wordWrap/>
        <w:adjustRightInd w:val="0"/>
        <w:snapToGrid w:val="0"/>
        <w:spacing w:line="560" w:lineRule="exact"/>
        <w:ind w:firstLine="640" w:firstLineChars="200"/>
        <w:jc w:val="left"/>
        <w:textAlignment w:val="auto"/>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r>
        <w:rPr>
          <w:rFonts w:hint="eastAsia" w:ascii="仿宋_GB2312" w:hAnsi="宋体" w:eastAsia="仿宋_GB2312" w:cs="宋体"/>
          <w:color w:val="000000"/>
          <w:kern w:val="0"/>
          <w:sz w:val="32"/>
          <w:szCs w:val="32"/>
        </w:rPr>
        <w:t xml:space="preserve"> </w:t>
      </w:r>
    </w:p>
    <w:p>
      <w:pPr>
        <w:wordWrap/>
        <w:adjustRightInd w:val="0"/>
        <w:snapToGrid w:val="0"/>
        <w:spacing w:line="560" w:lineRule="exact"/>
        <w:ind w:firstLine="640" w:firstLineChars="200"/>
        <w:jc w:val="left"/>
        <w:textAlignment w:val="auto"/>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wordWrap/>
        <w:adjustRightInd w:val="0"/>
        <w:snapToGrid w:val="0"/>
        <w:spacing w:line="560" w:lineRule="exact"/>
        <w:ind w:firstLine="640" w:firstLineChars="200"/>
        <w:jc w:val="left"/>
        <w:textAlignment w:val="auto"/>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wordWrap/>
        <w:autoSpaceDE w:val="0"/>
        <w:autoSpaceDN w:val="0"/>
        <w:adjustRightInd w:val="0"/>
        <w:snapToGrid w:val="0"/>
        <w:spacing w:line="560" w:lineRule="exact"/>
        <w:ind w:firstLine="640" w:firstLineChars="200"/>
        <w:jc w:val="left"/>
        <w:textAlignment w:val="auto"/>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wordWrap/>
        <w:autoSpaceDE w:val="0"/>
        <w:autoSpaceDN w:val="0"/>
        <w:adjustRightInd w:val="0"/>
        <w:snapToGrid w:val="0"/>
        <w:spacing w:line="560" w:lineRule="exact"/>
        <w:ind w:firstLine="640" w:firstLineChars="200"/>
        <w:jc w:val="left"/>
        <w:textAlignment w:val="auto"/>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wordWrap/>
        <w:adjustRightInd w:val="0"/>
        <w:snapToGrid w:val="0"/>
        <w:spacing w:line="560" w:lineRule="exact"/>
        <w:ind w:firstLine="640" w:firstLineChars="200"/>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w:t>
      </w:r>
      <w:r>
        <w:rPr>
          <w:rFonts w:hint="eastAsia" w:ascii="仿宋_GB2312" w:hAnsi="黑体" w:eastAsia="仿宋_GB2312" w:cs="仿宋_GB2312"/>
          <w:sz w:val="32"/>
          <w:szCs w:val="32"/>
          <w:lang w:val="en-US" w:eastAsia="zh-CN"/>
        </w:rPr>
        <w:t>城乡社区支出</w:t>
      </w:r>
      <w:r>
        <w:rPr>
          <w:rFonts w:hint="eastAsia" w:ascii="仿宋_GB2312" w:hAnsi="黑体" w:eastAsia="仿宋_GB2312" w:cs="仿宋_GB2312"/>
          <w:sz w:val="32"/>
          <w:szCs w:val="32"/>
        </w:rPr>
        <w:t>（类）城乡社区管理事务（款）行政运行（项）</w:t>
      </w:r>
      <w:r>
        <w:rPr>
          <w:rFonts w:hint="eastAsia" w:ascii="仿宋_GB2312" w:hAnsi="宋体" w:eastAsia="仿宋_GB2312" w:cs="宋体"/>
          <w:color w:val="000000"/>
          <w:kern w:val="0"/>
          <w:sz w:val="32"/>
          <w:szCs w:val="30"/>
        </w:rPr>
        <w:t>：指用于保障机构正常运行、开展日常工作的基本支出。</w:t>
      </w:r>
    </w:p>
    <w:p>
      <w:pPr>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lang w:val="en-US" w:eastAsia="zh-CN"/>
        </w:rPr>
        <w:t xml:space="preserve">    </w:t>
      </w:r>
      <w:r>
        <w:rPr>
          <w:rFonts w:hint="eastAsia" w:ascii="仿宋_GB2312" w:hAnsi="宋体" w:eastAsia="仿宋_GB2312" w:cs="宋体"/>
          <w:color w:val="000000"/>
          <w:kern w:val="0"/>
          <w:sz w:val="32"/>
          <w:szCs w:val="30"/>
        </w:rPr>
        <w:t>十一、</w:t>
      </w:r>
      <w:r>
        <w:rPr>
          <w:rFonts w:hint="eastAsia" w:ascii="仿宋_GB2312" w:hAnsi="宋体" w:eastAsia="仿宋_GB2312" w:cs="仿宋_GB2312"/>
          <w:kern w:val="2"/>
          <w:sz w:val="32"/>
          <w:szCs w:val="32"/>
          <w:lang w:val="en-US" w:eastAsia="zh-CN" w:bidi="ar-SA"/>
        </w:rPr>
        <w:t>社会保障和就业（类）行政事业单位离退休（款）机关事业单位基本养老保险缴费（项）</w:t>
      </w:r>
      <w:r>
        <w:rPr>
          <w:rFonts w:hint="eastAsia" w:ascii="仿宋_GB2312" w:hAnsi="宋体" w:eastAsia="仿宋_GB2312" w:cs="宋体"/>
          <w:color w:val="000000"/>
          <w:sz w:val="32"/>
          <w:szCs w:val="30"/>
          <w:lang w:val="en-US" w:eastAsia="zh-CN" w:bidi="ar-SA"/>
        </w:rPr>
        <w:t>：指机关事业单位实施养老保险制度由单位缴纳的基本养老保险费支出。</w:t>
      </w:r>
      <w:bookmarkStart w:id="0" w:name="_GoBack"/>
      <w:bookmarkEnd w:id="0"/>
    </w:p>
    <w:p>
      <w:pPr>
        <w:wordWrap/>
        <w:adjustRightInd w:val="0"/>
        <w:snapToGrid w:val="0"/>
        <w:spacing w:line="560" w:lineRule="exact"/>
        <w:ind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wordWrap/>
        <w:adjustRightInd w:val="0"/>
        <w:snapToGrid w:val="0"/>
        <w:spacing w:line="560" w:lineRule="exact"/>
        <w:ind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wordWrap/>
        <w:adjustRightInd w:val="0"/>
        <w:snapToGrid w:val="0"/>
        <w:spacing w:line="560" w:lineRule="exact"/>
        <w:ind w:firstLine="640" w:firstLineChars="200"/>
        <w:jc w:val="left"/>
        <w:textAlignment w:val="auto"/>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wordWrap/>
        <w:adjustRightInd w:val="0"/>
        <w:snapToGrid w:val="0"/>
        <w:spacing w:line="560" w:lineRule="exact"/>
        <w:ind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福利费、日常维修费、专用材料及一般设备购置费、办公用房水电费、办公用房取暖费、办公用房物业管理费、公务用车运行维护费以及其他费用。</w:t>
      </w:r>
    </w:p>
    <w:p>
      <w:pPr>
        <w:wordWrap/>
        <w:adjustRightInd w:val="0"/>
        <w:snapToGrid w:val="0"/>
        <w:spacing w:line="560" w:lineRule="exact"/>
        <w:ind w:firstLine="640" w:firstLineChars="200"/>
        <w:textAlignment w:val="auto"/>
        <w:rPr>
          <w:rFonts w:ascii="仿宋_GB2312" w:hAnsi="黑体" w:eastAsia="仿宋_GB2312" w:cs="仿宋_GB2312"/>
          <w:sz w:val="32"/>
          <w:szCs w:val="32"/>
        </w:rPr>
      </w:pPr>
    </w:p>
    <w:p>
      <w:pPr>
        <w:wordWrap/>
        <w:adjustRightInd w:val="0"/>
        <w:snapToGrid w:val="0"/>
        <w:spacing w:line="560" w:lineRule="exact"/>
        <w:ind w:firstLine="640" w:firstLineChars="200"/>
        <w:jc w:val="left"/>
        <w:textAlignment w:val="auto"/>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仿宋_GB2312">
    <w:panose1 w:val="02010609030101010101"/>
    <w:charset w:val="86"/>
    <w:family w:val="auto"/>
    <w:pitch w:val="default"/>
    <w:sig w:usb0="00000001" w:usb1="080E0000" w:usb2="00000000" w:usb3="00000000" w:csb0="00040000" w:csb1="00000000"/>
  </w:font>
  <w:font w:name="Calibri">
    <w:panose1 w:val="020F0502020204030204"/>
    <w:charset w:val="00"/>
    <w:family w:val="auto"/>
    <w:pitch w:val="default"/>
    <w:sig w:usb0="A00002EF" w:usb1="4000207B" w:usb2="00000000" w:usb3="00000000" w:csb0="2000009F" w:csb1="00000000"/>
  </w:font>
  <w:font w:name="方正小标宋简体">
    <w:panose1 w:val="02010601030101010101"/>
    <w:charset w:val="86"/>
    <w:family w:val="auto"/>
    <w:pitch w:val="default"/>
    <w:sig w:usb0="00000001" w:usb1="080E0000" w:usb2="00000000" w:usb3="00000000" w:csb0="00040000" w:csb1="00000000"/>
  </w:font>
  <w:font w:name="楷体">
    <w:altName w:val="楷体_GB2312"/>
    <w:panose1 w:val="02010609060101010101"/>
    <w:charset w:val="86"/>
    <w:family w:val="auto"/>
    <w:pitch w:val="default"/>
    <w:sig w:usb0="00000000" w:usb1="00000000"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92482439"/>
  </w:num>
  <w:num w:numId="2">
    <w:abstractNumId w:val="1285186183"/>
  </w:num>
  <w:num w:numId="3">
    <w:abstractNumId w:val="1516312359"/>
  </w:num>
  <w:num w:numId="4">
    <w:abstractNumId w:val="1893038598"/>
  </w:num>
  <w:num w:numId="5">
    <w:abstractNumId w:val="9061135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000000"/>
    <w:rsid w:val="03D470DA"/>
    <w:rsid w:val="04DB5EE8"/>
    <w:rsid w:val="07512E72"/>
    <w:rsid w:val="118755CE"/>
    <w:rsid w:val="23CC6B84"/>
    <w:rsid w:val="31AA59AD"/>
    <w:rsid w:val="454A65BB"/>
    <w:rsid w:val="54751EAA"/>
    <w:rsid w:val="6B1927ED"/>
  </w:rsids>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Style w:val="5"/>
      <w:tblLayout w:type="fixed"/>
      <w:tblCellMar>
        <w:top w:w="0" w:type="dxa"/>
        <w:left w:w="108" w:type="dxa"/>
        <w:bottom w:w="0" w:type="dxa"/>
        <w:right w:w="108" w:type="dxa"/>
      </w:tblCellMar>
    </w:tblPr>
    <w:tcPr>
      <w:textDirection w:val="lrTb"/>
    </w:tc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character" w:customStyle="1" w:styleId="7">
    <w:name w:val="页眉 Char"/>
    <w:basedOn w:val="4"/>
    <w:link w:val="3"/>
    <w:semiHidden/>
    <w:qFormat/>
    <w:uiPriority w:val="99"/>
    <w:rPr>
      <w:sz w:val="18"/>
      <w:szCs w:val="18"/>
    </w:rPr>
  </w:style>
  <w:style w:type="character" w:customStyle="1" w:styleId="8">
    <w:name w:val="页脚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542</Words>
  <Characters>3090</Characters>
  <Lines>25</Lines>
  <Paragraphs>7</Paragraphs>
  <ScaleCrop>false</ScaleCrop>
  <LinksUpToDate>false</LinksUpToDate>
  <CharactersWithSpaces>0</CharactersWithSpaces>
  <Application>WPS Office 专业版_9.1.0.4940_F1E327BC-269C-435d-A152-05C5408002CA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黄振云</cp:lastModifiedBy>
  <dcterms:modified xsi:type="dcterms:W3CDTF">2019-02-12T01:29:40Z</dcterms:modified>
  <dc:title>××年××部门预算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2052-9.1.0.4940</vt:lpwstr>
  </property>
</Properties>
</file>