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jc w:val="center"/>
        <w:rPr>
          <w:rFonts w:hint="eastAsia" w:ascii="宋体" w:hAnsi="宋体" w:eastAsia="宋体" w:cs="宋体"/>
          <w:sz w:val="24"/>
          <w:szCs w:val="24"/>
        </w:rPr>
      </w:pPr>
      <w:r>
        <w:rPr>
          <w:rFonts w:hint="eastAsia" w:ascii="宋体" w:hAnsi="宋体" w:eastAsia="宋体" w:cs="宋体"/>
          <w:b/>
          <w:bCs/>
          <w:sz w:val="36"/>
          <w:szCs w:val="36"/>
          <w:bdr w:val="none" w:color="auto" w:sz="0" w:space="0"/>
        </w:rPr>
        <w:t>三亚市营商环境建设局</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jc w:val="center"/>
        <w:rPr>
          <w:rFonts w:hint="eastAsia" w:ascii="宋体" w:hAnsi="宋体" w:eastAsia="宋体" w:cs="宋体"/>
          <w:sz w:val="24"/>
          <w:szCs w:val="24"/>
        </w:rPr>
      </w:pPr>
      <w:r>
        <w:rPr>
          <w:rFonts w:hint="eastAsia" w:ascii="宋体" w:hAnsi="宋体" w:eastAsia="宋体" w:cs="宋体"/>
          <w:b/>
          <w:bCs/>
          <w:sz w:val="36"/>
          <w:szCs w:val="36"/>
          <w:bdr w:val="none" w:color="auto" w:sz="0" w:space="0"/>
        </w:rPr>
        <w:t>关于印发《三亚市营商环境投诉举报奖励办法（试行）》的通知</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jc w:val="center"/>
        <w:rPr>
          <w:sz w:val="24"/>
          <w:szCs w:val="24"/>
        </w:rPr>
      </w:pPr>
      <w:r>
        <w:rPr>
          <w:rFonts w:ascii="楷体" w:hAnsi="楷体" w:eastAsia="楷体" w:cs="楷体"/>
          <w:sz w:val="24"/>
          <w:szCs w:val="24"/>
          <w:bdr w:val="none" w:color="auto" w:sz="0" w:space="0"/>
        </w:rPr>
        <w:t>三营商规〔2023〕1号</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sz w:val="24"/>
          <w:szCs w:val="24"/>
          <w:bdr w:val="none" w:color="auto" w:sz="0" w:space="0"/>
        </w:rPr>
        <w:t>  </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rPr>
          <w:rFonts w:hint="eastAsia" w:ascii="宋体" w:hAnsi="宋体" w:eastAsia="宋体" w:cs="宋体"/>
          <w:sz w:val="24"/>
          <w:szCs w:val="24"/>
        </w:rPr>
      </w:pPr>
      <w:r>
        <w:rPr>
          <w:rFonts w:hint="eastAsia" w:ascii="宋体" w:hAnsi="宋体" w:eastAsia="宋体" w:cs="宋体"/>
          <w:sz w:val="24"/>
          <w:szCs w:val="24"/>
          <w:bdr w:val="none" w:color="auto" w:sz="0" w:space="0"/>
        </w:rPr>
        <w:t>各区人民政府、育才生态区管理委员会、市各相关单位：</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sz w:val="24"/>
          <w:szCs w:val="24"/>
          <w:bdr w:val="none" w:color="auto" w:sz="0" w:space="0"/>
        </w:rPr>
        <w:t>《三亚市营商环境投诉举报奖励办法（试行）》于2023年12月12日经三亚市营商环境建设局局务会议审议通过，现予以印发，请认真组织实施。</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sz w:val="24"/>
          <w:szCs w:val="24"/>
          <w:bdr w:val="none" w:color="auto" w:sz="0" w:space="0"/>
        </w:rPr>
        <w:t>  </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sz w:val="24"/>
          <w:szCs w:val="24"/>
          <w:bdr w:val="none" w:color="auto" w:sz="0" w:space="0"/>
        </w:rPr>
        <w:t>  </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jc w:val="right"/>
        <w:rPr>
          <w:rFonts w:hint="eastAsia" w:ascii="宋体" w:hAnsi="宋体" w:eastAsia="宋体" w:cs="宋体"/>
          <w:sz w:val="24"/>
          <w:szCs w:val="24"/>
        </w:rPr>
      </w:pPr>
      <w:r>
        <w:rPr>
          <w:rFonts w:hint="eastAsia" w:ascii="宋体" w:hAnsi="宋体" w:eastAsia="宋体" w:cs="宋体"/>
          <w:sz w:val="24"/>
          <w:szCs w:val="24"/>
          <w:bdr w:val="none" w:color="auto" w:sz="0" w:space="0"/>
        </w:rPr>
        <w:t>三亚市营商环境建设局</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jc w:val="right"/>
        <w:rPr>
          <w:rFonts w:hint="eastAsia" w:ascii="宋体" w:hAnsi="宋体" w:eastAsia="宋体" w:cs="宋体"/>
          <w:sz w:val="24"/>
          <w:szCs w:val="24"/>
        </w:rPr>
      </w:pPr>
      <w:r>
        <w:rPr>
          <w:rFonts w:hint="eastAsia" w:ascii="宋体" w:hAnsi="宋体" w:eastAsia="宋体" w:cs="宋体"/>
          <w:sz w:val="24"/>
          <w:szCs w:val="24"/>
          <w:bdr w:val="none" w:color="auto" w:sz="0" w:space="0"/>
        </w:rPr>
        <w:t>2023年12月13日</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sz w:val="24"/>
          <w:szCs w:val="24"/>
          <w:bdr w:val="none" w:color="auto" w:sz="0" w:space="0"/>
        </w:rPr>
        <w:t>（此件主动公开）</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jc w:val="center"/>
        <w:rPr>
          <w:rFonts w:hint="eastAsia" w:ascii="宋体" w:hAnsi="宋体" w:eastAsia="宋体" w:cs="宋体"/>
          <w:sz w:val="24"/>
          <w:szCs w:val="24"/>
        </w:rPr>
      </w:pPr>
      <w:r>
        <w:rPr>
          <w:rFonts w:hint="eastAsia" w:ascii="宋体" w:hAnsi="宋体" w:eastAsia="宋体" w:cs="宋体"/>
          <w:b/>
          <w:bCs/>
          <w:sz w:val="24"/>
          <w:szCs w:val="24"/>
          <w:bdr w:val="none" w:color="auto" w:sz="0" w:space="0"/>
        </w:rPr>
        <w:t>三亚市营商环境投诉举报奖励办法（试行）</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b/>
          <w:bCs/>
          <w:sz w:val="24"/>
          <w:szCs w:val="24"/>
          <w:bdr w:val="none" w:color="auto" w:sz="0" w:space="0"/>
        </w:rPr>
        <w:t>第一条</w:t>
      </w:r>
      <w:r>
        <w:rPr>
          <w:rFonts w:hint="eastAsia" w:ascii="宋体" w:hAnsi="宋体" w:eastAsia="宋体" w:cs="宋体"/>
          <w:sz w:val="24"/>
          <w:szCs w:val="24"/>
          <w:bdr w:val="none" w:color="auto" w:sz="0" w:space="0"/>
        </w:rPr>
        <w:t> 为加强营商环境社会监督，推进营商环境共建共治共享，根据《优化营商环境条例》《海南自由贸易港优化营商环境条例》《三亚市优化营商环境若干规定》等规定，结合三亚实际，制定本办法。</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b/>
          <w:bCs/>
          <w:sz w:val="24"/>
          <w:szCs w:val="24"/>
          <w:bdr w:val="none" w:color="auto" w:sz="0" w:space="0"/>
        </w:rPr>
        <w:t>第二条</w:t>
      </w:r>
      <w:r>
        <w:rPr>
          <w:rFonts w:hint="eastAsia" w:ascii="宋体" w:hAnsi="宋体" w:eastAsia="宋体" w:cs="宋体"/>
          <w:sz w:val="24"/>
          <w:szCs w:val="24"/>
          <w:bdr w:val="none" w:color="auto" w:sz="0" w:space="0"/>
        </w:rPr>
        <w:t> 社会公众对本市行政机关和公共事业单位存在不履行或不正确履行工作职责以致损害营商环境的行为，可以向营商环境主管部门进行投诉举报，行政机关对投诉举报查证属实并予以物质奖励，适用本办法。</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b/>
          <w:bCs/>
          <w:sz w:val="24"/>
          <w:szCs w:val="24"/>
          <w:bdr w:val="none" w:color="auto" w:sz="0" w:space="0"/>
        </w:rPr>
        <w:t>第三条</w:t>
      </w:r>
      <w:r>
        <w:rPr>
          <w:rFonts w:hint="eastAsia" w:ascii="宋体" w:hAnsi="宋体" w:eastAsia="宋体" w:cs="宋体"/>
          <w:sz w:val="24"/>
          <w:szCs w:val="24"/>
          <w:bdr w:val="none" w:color="auto" w:sz="0" w:space="0"/>
        </w:rPr>
        <w:t> 投诉举报应当通过线上线下等方式进行（投诉举报渠道变更调整的，以营商环境主管部门公布为准）：</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sz w:val="24"/>
          <w:szCs w:val="24"/>
          <w:bdr w:val="none" w:color="auto" w:sz="0" w:space="0"/>
        </w:rPr>
        <w:t>（一）线上投诉渠道：</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sz w:val="24"/>
          <w:szCs w:val="24"/>
          <w:bdr w:val="none" w:color="auto" w:sz="0" w:space="0"/>
        </w:rPr>
        <w:t>1.海南营商环境问题受理平台：</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sz w:val="24"/>
          <w:szCs w:val="24"/>
          <w:bdr w:val="none" w:color="auto" w:sz="0" w:space="0"/>
        </w:rPr>
        <w:t>（1）电脑或PAD端，可登录海南12345热线官网（12345.hainan.gov.cn），或海南省人民政府以及各级政府官网首页“交流互动”—“海南12345热线”；</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sz w:val="24"/>
          <w:szCs w:val="24"/>
          <w:bdr w:val="none" w:color="auto" w:sz="0" w:space="0"/>
        </w:rPr>
        <w:t>（2）手机端，可登录“海易办”APP首页“海南12345热线”“海南营商环境”微信公众号“问题受理”—“12345热线”。</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sz w:val="24"/>
          <w:szCs w:val="24"/>
          <w:bdr w:val="none" w:color="auto" w:sz="0" w:space="0"/>
        </w:rPr>
        <w:t>2.邮箱：zmgyshjfwk0898@163.com。</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sz w:val="24"/>
          <w:szCs w:val="24"/>
          <w:bdr w:val="none" w:color="auto" w:sz="0" w:space="0"/>
        </w:rPr>
        <w:t>（二）线下投诉渠道：</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sz w:val="24"/>
          <w:szCs w:val="24"/>
          <w:bdr w:val="none" w:color="auto" w:sz="0" w:space="0"/>
        </w:rPr>
        <w:t>来信或来访地址：三亚市吉阳区新风街259号三亚市政务服务中心二楼三亚市营商环境建设局；</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sz w:val="24"/>
          <w:szCs w:val="24"/>
          <w:bdr w:val="none" w:color="auto" w:sz="0" w:space="0"/>
        </w:rPr>
        <w:t>邮编：572000；联系电话：（0898）-38221732。</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b/>
          <w:bCs/>
          <w:sz w:val="24"/>
          <w:szCs w:val="24"/>
          <w:bdr w:val="none" w:color="auto" w:sz="0" w:space="0"/>
        </w:rPr>
        <w:t>第四条</w:t>
      </w:r>
      <w:r>
        <w:rPr>
          <w:rFonts w:hint="eastAsia" w:ascii="宋体" w:hAnsi="宋体" w:eastAsia="宋体" w:cs="宋体"/>
          <w:sz w:val="24"/>
          <w:szCs w:val="24"/>
          <w:bdr w:val="none" w:color="auto" w:sz="0" w:space="0"/>
        </w:rPr>
        <w:t> 对于以下损害营商环境的行为进行投诉举报的，应当纳入受理范围：</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sz w:val="24"/>
          <w:szCs w:val="24"/>
          <w:bdr w:val="none" w:color="auto" w:sz="0" w:space="0"/>
        </w:rPr>
        <w:t>（一）市场主体在市场准入、投资建设、融资信贷、生产运营、退出市场等过程中遇到的准入门槛高、办理环节多、审批耗时长，违反规定增加或者变相增加办事事项、办事环节、办事材料或者延长办事时限的；</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sz w:val="24"/>
          <w:szCs w:val="24"/>
          <w:bdr w:val="none" w:color="auto" w:sz="0" w:space="0"/>
        </w:rPr>
        <w:t>（二）变相设定或者实施行政许可、继续实施或者变相实施已取消的行政许可，擅自收费、越权收费、超标准收费和重复收费的，制定与市场主体生产经营活动密切相关的政策文件不按照规定听取市场主体意见的；</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sz w:val="24"/>
          <w:szCs w:val="24"/>
          <w:bdr w:val="none" w:color="auto" w:sz="0" w:space="0"/>
        </w:rPr>
        <w:t>（三）拒绝、推诿、拖延履行法定职责，不担当、不作为的；有令不行、有禁不止的；门难进、脸难看、不办事的；执法不规范、以罚代管、过度执法的；</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sz w:val="24"/>
          <w:szCs w:val="24"/>
          <w:bdr w:val="none" w:color="auto" w:sz="0" w:space="0"/>
        </w:rPr>
        <w:t>（四）“新官不理旧账”，不履行向市场主体依法作出的政策承诺以及依法订立的各类合同，或者不履行行政复议决定、生效的司法裁判文书和仲裁文书的；</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sz w:val="24"/>
          <w:szCs w:val="24"/>
          <w:bdr w:val="none" w:color="auto" w:sz="0" w:space="0"/>
        </w:rPr>
        <w:t>（五）对市场主体故意刁难、“雁过拔毛”“吃拿卡要”的；</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sz w:val="24"/>
          <w:szCs w:val="24"/>
          <w:bdr w:val="none" w:color="auto" w:sz="0" w:space="0"/>
        </w:rPr>
        <w:t>（六）没有法定依据实施行政检查、行政处罚、行政强制等行政行为，妨碍市场主体正常生产经营活动的；</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sz w:val="24"/>
          <w:szCs w:val="24"/>
          <w:bdr w:val="none" w:color="auto" w:sz="0" w:space="0"/>
        </w:rPr>
        <w:t>（七）违约拖欠市场主体的货物、工程、服务等账款的；</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sz w:val="24"/>
          <w:szCs w:val="24"/>
          <w:bdr w:val="none" w:color="auto" w:sz="0" w:space="0"/>
        </w:rPr>
        <w:t>（八）其他不履行优化营商环境职责或损害营商环境的行为。</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b/>
          <w:bCs/>
          <w:sz w:val="24"/>
          <w:szCs w:val="24"/>
          <w:bdr w:val="none" w:color="auto" w:sz="0" w:space="0"/>
        </w:rPr>
        <w:t>第五条</w:t>
      </w:r>
      <w:r>
        <w:rPr>
          <w:rFonts w:hint="eastAsia" w:ascii="宋体" w:hAnsi="宋体" w:eastAsia="宋体" w:cs="宋体"/>
          <w:sz w:val="24"/>
          <w:szCs w:val="24"/>
          <w:bdr w:val="none" w:color="auto" w:sz="0" w:space="0"/>
        </w:rPr>
        <w:t> 关于以下问题进行投诉举报的，不纳入受理范围：</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sz w:val="24"/>
          <w:szCs w:val="24"/>
          <w:bdr w:val="none" w:color="auto" w:sz="0" w:space="0"/>
        </w:rPr>
        <w:t>（一）自然环境条件和公共基础设施建设问题；</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sz w:val="24"/>
          <w:szCs w:val="24"/>
          <w:bdr w:val="none" w:color="auto" w:sz="0" w:space="0"/>
        </w:rPr>
        <w:t>（二）市场主体之间的民事纠纷；治安和刑事案件；进入司法、行政复议程序的；</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sz w:val="24"/>
          <w:szCs w:val="24"/>
          <w:bdr w:val="none" w:color="auto" w:sz="0" w:space="0"/>
        </w:rPr>
        <w:t>（三）办结事项又以同一理由举报且未提供新的佐证材料的；</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sz w:val="24"/>
          <w:szCs w:val="24"/>
          <w:bdr w:val="none" w:color="auto" w:sz="0" w:space="0"/>
        </w:rPr>
        <w:t>（四）不属于营商环境监督职责范围的。</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b/>
          <w:bCs/>
          <w:sz w:val="24"/>
          <w:szCs w:val="24"/>
          <w:bdr w:val="none" w:color="auto" w:sz="0" w:space="0"/>
        </w:rPr>
        <w:t>第六条</w:t>
      </w:r>
      <w:r>
        <w:rPr>
          <w:rFonts w:hint="eastAsia" w:ascii="宋体" w:hAnsi="宋体" w:eastAsia="宋体" w:cs="宋体"/>
          <w:sz w:val="24"/>
          <w:szCs w:val="24"/>
          <w:bdr w:val="none" w:color="auto" w:sz="0" w:space="0"/>
        </w:rPr>
        <w:t> 对损害营商环境行为的投诉举报予以奖励，需同时符合以下条件：</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sz w:val="24"/>
          <w:szCs w:val="24"/>
          <w:bdr w:val="none" w:color="auto" w:sz="0" w:space="0"/>
        </w:rPr>
        <w:t>（一）有明确的被投诉举报对象和具体线索，并提供真实有效证据；</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sz w:val="24"/>
          <w:szCs w:val="24"/>
          <w:bdr w:val="none" w:color="auto" w:sz="0" w:space="0"/>
        </w:rPr>
        <w:t>（二）投诉举报的主要事实、证据事先未被营商环境主管部门掌握；</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sz w:val="24"/>
          <w:szCs w:val="24"/>
          <w:bdr w:val="none" w:color="auto" w:sz="0" w:space="0"/>
        </w:rPr>
        <w:t>（三）投诉举报事项经查证属实，被投诉举报行为已造成损害营商环境的后果或因投诉举报阻止损害营商环境的行为进一步实施；</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sz w:val="24"/>
          <w:szCs w:val="24"/>
          <w:bdr w:val="none" w:color="auto" w:sz="0" w:space="0"/>
        </w:rPr>
        <w:t>（四）其他依法依规应予奖励的必备条件。</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b/>
          <w:bCs/>
          <w:sz w:val="24"/>
          <w:szCs w:val="24"/>
          <w:bdr w:val="none" w:color="auto" w:sz="0" w:space="0"/>
        </w:rPr>
        <w:t>第七条</w:t>
      </w:r>
      <w:r>
        <w:rPr>
          <w:rFonts w:hint="eastAsia" w:ascii="宋体" w:hAnsi="宋体" w:eastAsia="宋体" w:cs="宋体"/>
          <w:sz w:val="24"/>
          <w:szCs w:val="24"/>
          <w:bdr w:val="none" w:color="auto" w:sz="0" w:space="0"/>
        </w:rPr>
        <w:t> 有下列情形之一的，不予奖励：</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sz w:val="24"/>
          <w:szCs w:val="24"/>
          <w:bdr w:val="none" w:color="auto" w:sz="0" w:space="0"/>
        </w:rPr>
        <w:t>（一）投诉举报事实不清，或内容难以核实的；</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sz w:val="24"/>
          <w:szCs w:val="24"/>
          <w:bdr w:val="none" w:color="auto" w:sz="0" w:space="0"/>
        </w:rPr>
        <w:t>（二）行政机关、履行相关法定职责的事业单位、或其他组织的工作人员投诉举报，或授意他人举报的；</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sz w:val="24"/>
          <w:szCs w:val="24"/>
          <w:bdr w:val="none" w:color="auto" w:sz="0" w:space="0"/>
        </w:rPr>
        <w:t>（三）投诉举报人以违法方式取得相关证据并进行投诉举报的；</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sz w:val="24"/>
          <w:szCs w:val="24"/>
          <w:bdr w:val="none" w:color="auto" w:sz="0" w:space="0"/>
        </w:rPr>
        <w:t>（四）法律、法规和规章规定的其他不予奖励的情形。</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b/>
          <w:bCs/>
          <w:sz w:val="24"/>
          <w:szCs w:val="24"/>
          <w:bdr w:val="none" w:color="auto" w:sz="0" w:space="0"/>
        </w:rPr>
        <w:t>第八条</w:t>
      </w:r>
      <w:r>
        <w:rPr>
          <w:rFonts w:hint="eastAsia" w:ascii="宋体" w:hAnsi="宋体" w:eastAsia="宋体" w:cs="宋体"/>
          <w:sz w:val="24"/>
          <w:szCs w:val="24"/>
          <w:bdr w:val="none" w:color="auto" w:sz="0" w:space="0"/>
        </w:rPr>
        <w:t> 投诉举报奖励实施应遵循以下原则：</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sz w:val="24"/>
          <w:szCs w:val="24"/>
          <w:bdr w:val="none" w:color="auto" w:sz="0" w:space="0"/>
        </w:rPr>
        <w:t>（一）投诉举报奖励限于实名举报，匿名投诉举报的，按照营商环境问题核查处理规定调查核实，结果不作为奖励依据；</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sz w:val="24"/>
          <w:szCs w:val="24"/>
          <w:bdr w:val="none" w:color="auto" w:sz="0" w:space="0"/>
        </w:rPr>
        <w:t>（二）对多人投诉举报同一线索的，原则上只奖励第一投诉举报人，顺序营商环境主管部门受理登记时间为准；</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sz w:val="24"/>
          <w:szCs w:val="24"/>
          <w:bdr w:val="none" w:color="auto" w:sz="0" w:space="0"/>
        </w:rPr>
        <w:t>（三）同一问题不同线索有2个以上投诉举报人的，视信息对核实该投诉举报的影响力予以奖励，奖励金额不超过单一问题的奖金额度。</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b/>
          <w:bCs/>
          <w:sz w:val="24"/>
          <w:szCs w:val="24"/>
          <w:bdr w:val="none" w:color="auto" w:sz="0" w:space="0"/>
        </w:rPr>
        <w:t>第九条</w:t>
      </w:r>
      <w:r>
        <w:rPr>
          <w:rFonts w:hint="eastAsia" w:ascii="宋体" w:hAnsi="宋体" w:eastAsia="宋体" w:cs="宋体"/>
          <w:sz w:val="24"/>
          <w:szCs w:val="24"/>
          <w:bdr w:val="none" w:color="auto" w:sz="0" w:space="0"/>
        </w:rPr>
        <w:t> 投诉举报问题线索经有权机关查实的，由市营商环境主管部门视情节和处理结果对投诉举报人实行奖励，投诉举报奖励金的数额最终以市营商环境主管部门的决定为准：</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sz w:val="24"/>
          <w:szCs w:val="24"/>
          <w:bdr w:val="none" w:color="auto" w:sz="0" w:space="0"/>
        </w:rPr>
        <w:t>（一）问题线索属于严重影响三亚市企业经营活动开展或项目推进，或者企业和群众反映集中、代表共性堵点问题的，经查证与实际情况相符，且被举报对象受到组织处理或纪检监察机关等相关部门通报批评或约谈的，奖励投诉举报人5000元；</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sz w:val="24"/>
          <w:szCs w:val="24"/>
          <w:bdr w:val="none" w:color="auto" w:sz="0" w:space="0"/>
        </w:rPr>
        <w:t>（二）问题线索属于对三亚市企业经营活动开展或项目推进产生不良影响、已造成一定范围的社会影响，或者已反映过问题但有关责任单位在3个月内未采取任何解决措施的，经查证与实际情况相符，奖励投诉举报人2000元；</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sz w:val="24"/>
          <w:szCs w:val="24"/>
          <w:bdr w:val="none" w:color="auto" w:sz="0" w:space="0"/>
        </w:rPr>
        <w:t>（三）问题线索属于对三亚市企业经营活动开展或项目推进产生具体不良影响，但未造成一定范围的社会影响，经查证与实际情况相符，奖励投诉举报人1000元。</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sz w:val="24"/>
          <w:szCs w:val="24"/>
          <w:bdr w:val="none" w:color="auto" w:sz="0" w:space="0"/>
        </w:rPr>
        <w:t>（四）问题线索属于未对三亚市企业经营活动开展或项目推进产生具体不良影响，但由于相关单位不主动、不规范、不专业等造成企业和群众对营商环境感受度较差的，经查证与实际情况相符，奖励投诉举报人500元。</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b/>
          <w:bCs/>
          <w:sz w:val="24"/>
          <w:szCs w:val="24"/>
          <w:bdr w:val="none" w:color="auto" w:sz="0" w:space="0"/>
        </w:rPr>
        <w:t>第十条</w:t>
      </w:r>
      <w:r>
        <w:rPr>
          <w:rFonts w:hint="eastAsia" w:ascii="宋体" w:hAnsi="宋体" w:eastAsia="宋体" w:cs="宋体"/>
          <w:sz w:val="24"/>
          <w:szCs w:val="24"/>
          <w:bdr w:val="none" w:color="auto" w:sz="0" w:space="0"/>
        </w:rPr>
        <w:t> 投诉举报奖励金应纳入市级财政预算，实行专款专用，接受审计、监察等机关的监督监察。</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b/>
          <w:bCs/>
          <w:sz w:val="24"/>
          <w:szCs w:val="24"/>
          <w:bdr w:val="none" w:color="auto" w:sz="0" w:space="0"/>
        </w:rPr>
        <w:t>第十一条</w:t>
      </w:r>
      <w:r>
        <w:rPr>
          <w:rFonts w:hint="eastAsia" w:ascii="宋体" w:hAnsi="宋体" w:eastAsia="宋体" w:cs="宋体"/>
          <w:sz w:val="24"/>
          <w:szCs w:val="24"/>
          <w:bdr w:val="none" w:color="auto" w:sz="0" w:space="0"/>
        </w:rPr>
        <w:t> 投诉举报奖励金的审核发放按以下程序进行：</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sz w:val="24"/>
          <w:szCs w:val="24"/>
          <w:bdr w:val="none" w:color="auto" w:sz="0" w:space="0"/>
        </w:rPr>
        <w:t>（一）市营商环境主管部门成立奖励审核委员会对奖励发放程序进行审核并按照财务管理制度办理奖金申请、发放手续，并将有关投诉举报核查处理情况、奖励金审批材料进行存档；</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sz w:val="24"/>
          <w:szCs w:val="24"/>
          <w:bdr w:val="none" w:color="auto" w:sz="0" w:space="0"/>
        </w:rPr>
        <w:t>（二）市营商环境主管部门根据投诉举报问题线索处理结果，对是否发放奖励、奖励金额予以审核确定，并在作出奖励决定后10个工作日内向投诉举报人送达《三亚市营商环境投诉举报奖励决定通知书》；</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sz w:val="24"/>
          <w:szCs w:val="24"/>
          <w:bdr w:val="none" w:color="auto" w:sz="0" w:space="0"/>
        </w:rPr>
        <w:t>（三）投诉举报人应当在接到《三亚市营商环境投诉举报奖励决定通知书》之日起30日内，凭本人有效证件领取奖金；委托他人代领的，凭投诉举报人和代领人有效身份证件原件及复印件和授权委托书领取；无正当理由逾期不领的，视为自动放弃；</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sz w:val="24"/>
          <w:szCs w:val="24"/>
          <w:bdr w:val="none" w:color="auto" w:sz="0" w:space="0"/>
        </w:rPr>
        <w:t>（四）各区营商环境主管部门对受理的辖区范围内营商环境问题进行核实查证后，经初步审核符合奖励条件的，向市营商环境主管部门提出奖励申请，由市营商环境主管部门统一审核、发放奖金。</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b/>
          <w:bCs/>
          <w:sz w:val="24"/>
          <w:szCs w:val="24"/>
          <w:bdr w:val="none" w:color="auto" w:sz="0" w:space="0"/>
        </w:rPr>
        <w:t>第十二条</w:t>
      </w:r>
      <w:r>
        <w:rPr>
          <w:rFonts w:hint="eastAsia" w:ascii="宋体" w:hAnsi="宋体" w:eastAsia="宋体" w:cs="宋体"/>
          <w:sz w:val="24"/>
          <w:szCs w:val="24"/>
          <w:bdr w:val="none" w:color="auto" w:sz="0" w:space="0"/>
        </w:rPr>
        <w:t> 投诉举报人应当坚持实事求是的原则，提交的线索和证据应当客观真实，不得弄虚作假、歪曲事实、蓄意诬陷被投诉举报对象，否则将追究其法律责任。</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b/>
          <w:bCs/>
          <w:sz w:val="24"/>
          <w:szCs w:val="24"/>
          <w:bdr w:val="none" w:color="auto" w:sz="0" w:space="0"/>
        </w:rPr>
        <w:t>第十三条</w:t>
      </w:r>
      <w:r>
        <w:rPr>
          <w:rFonts w:hint="eastAsia" w:ascii="宋体" w:hAnsi="宋体" w:eastAsia="宋体" w:cs="宋体"/>
          <w:sz w:val="24"/>
          <w:szCs w:val="24"/>
          <w:bdr w:val="none" w:color="auto" w:sz="0" w:space="0"/>
        </w:rPr>
        <w:t> 营商环境主管部门、投诉举报问题责任单位依法核查问题线索，并保护投诉举报人的个人信息，在执行本办法过程中存在违法行为的，由有关机关依法追究其责任。</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pPr>
      <w:r>
        <w:rPr>
          <w:rFonts w:hint="eastAsia" w:ascii="宋体" w:hAnsi="宋体" w:eastAsia="宋体" w:cs="宋体"/>
          <w:b/>
          <w:bCs/>
          <w:sz w:val="24"/>
          <w:szCs w:val="24"/>
          <w:bdr w:val="none" w:color="auto" w:sz="0" w:space="0"/>
        </w:rPr>
        <w:t>第十四条</w:t>
      </w:r>
      <w:r>
        <w:rPr>
          <w:rFonts w:hint="eastAsia" w:ascii="宋体" w:hAnsi="宋体" w:eastAsia="宋体" w:cs="宋体"/>
          <w:sz w:val="24"/>
          <w:szCs w:val="24"/>
          <w:bdr w:val="none" w:color="auto" w:sz="0" w:space="0"/>
        </w:rPr>
        <w:t> 本办法自2024年1月15日起施行，有效期至2025年1月14日。</w:t>
      </w:r>
      <w:bookmarkStart w:id="0" w:name="_GoBack"/>
      <w:bookmarkEnd w:id="0"/>
    </w:p>
    <w:sectPr>
      <w:pgSz w:w="12240" w:h="15840"/>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MS Mincho">
    <w:panose1 w:val="02020609040205080304"/>
    <w:charset w:val="80"/>
    <w:family w:val="auto"/>
    <w:pitch w:val="default"/>
    <w:sig w:usb0="E00002FF" w:usb1="6AC7FDFB" w:usb2="00000012" w:usb3="00000000" w:csb0="4002009F" w:csb1="DFD70000"/>
  </w:font>
  <w:font w:name="MS Gothic">
    <w:panose1 w:val="020B0609070205080204"/>
    <w:charset w:val="80"/>
    <w:family w:val="auto"/>
    <w:pitch w:val="default"/>
    <w:sig w:usb0="E00002FF" w:usb1="6AC7FDFB" w:usb2="00000012" w:usb3="00000000" w:csb0="4002009F" w:csb1="DFD70000"/>
  </w:font>
  <w:font w:name="Courier">
    <w:panose1 w:val="02060409020205020404"/>
    <w:charset w:val="00"/>
    <w:family w:val="auto"/>
    <w:pitch w:val="default"/>
    <w:sig w:usb0="00000007" w:usb1="00000000" w:usb2="00000000" w:usb3="00000000" w:csb0="00000093" w:csb1="00000000"/>
  </w:font>
  <w:font w:name="楷体">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NkMmY1MzBkMzNmMmJhMjBmN2NlM2FlOGJkMjhkYzEifQ=="/>
  </w:docVars>
  <w:rsids>
    <w:rsidRoot w:val="00B47730"/>
    <w:rsid w:val="00034616"/>
    <w:rsid w:val="0006063C"/>
    <w:rsid w:val="0015074B"/>
    <w:rsid w:val="0029639D"/>
    <w:rsid w:val="00326F90"/>
    <w:rsid w:val="00AA1D8D"/>
    <w:rsid w:val="00B47730"/>
    <w:rsid w:val="00CB0664"/>
    <w:rsid w:val="00FC693F"/>
    <w:rsid w:val="224A4F35"/>
    <w:rsid w:val="3F112652"/>
    <w:rsid w:val="42A67968"/>
    <w:rsid w:val="5E796C49"/>
    <w:rsid w:val="5EC35D6E"/>
    <w:rsid w:val="67C00BAA"/>
    <w:rsid w:val="715B26C8"/>
    <w:rsid w:val="751A5AB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unhideWhenUsed="0" w:uiPriority="65" w:semiHidden="0" w:name="Medium List 1 Accent 3"/>
    <w:lsdException w:qFormat="1"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qFormat="1"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unhideWhenUsed="0" w:uiPriority="64" w:semiHidden="0" w:name="Medium Shading 2 Accent 5"/>
    <w:lsdException w:unhideWhenUsed="0" w:uiPriority="65" w:semiHidden="0" w:name="Medium List 1 Accent 5"/>
    <w:lsdException w:qFormat="1"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qFormat="1"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3">
    <w:name w:val="heading 1"/>
    <w:basedOn w:val="1"/>
    <w:next w:val="1"/>
    <w:link w:val="140"/>
    <w:autoRedefine/>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41"/>
    <w:autoRedefine/>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2"/>
    <w:autoRedefine/>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2"/>
    <w:autoRedefine/>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3"/>
    <w:autoRedefine/>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4"/>
    <w:autoRedefine/>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5"/>
    <w:autoRedefine/>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6"/>
    <w:autoRedefine/>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7"/>
    <w:autoRedefine/>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3">
    <w:name w:val="Default Paragraph Font"/>
    <w:autoRedefine/>
    <w:semiHidden/>
    <w:unhideWhenUsed/>
    <w:qFormat/>
    <w:uiPriority w:val="1"/>
  </w:style>
  <w:style w:type="table" w:default="1" w:styleId="33">
    <w:name w:val="Normal Table"/>
    <w:autoRedefine/>
    <w:semiHidden/>
    <w:unhideWhenUsed/>
    <w:qFormat/>
    <w:uiPriority w:val="99"/>
    <w:tblPr>
      <w:tblCellMar>
        <w:top w:w="0" w:type="dxa"/>
        <w:left w:w="108" w:type="dxa"/>
        <w:bottom w:w="0" w:type="dxa"/>
        <w:right w:w="108" w:type="dxa"/>
      </w:tblCellMar>
    </w:tblPr>
  </w:style>
  <w:style w:type="paragraph" w:styleId="2">
    <w:name w:val="macro"/>
    <w:link w:val="149"/>
    <w:autoRedefine/>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autoRedefine/>
    <w:unhideWhenUsed/>
    <w:qFormat/>
    <w:uiPriority w:val="99"/>
    <w:pPr>
      <w:ind w:left="1080" w:hanging="360"/>
      <w:contextualSpacing/>
    </w:pPr>
  </w:style>
  <w:style w:type="paragraph" w:styleId="13">
    <w:name w:val="List Number 2"/>
    <w:basedOn w:val="1"/>
    <w:autoRedefine/>
    <w:unhideWhenUsed/>
    <w:qFormat/>
    <w:uiPriority w:val="99"/>
    <w:pPr>
      <w:numPr>
        <w:ilvl w:val="0"/>
        <w:numId w:val="1"/>
      </w:numPr>
      <w:contextualSpacing/>
    </w:pPr>
  </w:style>
  <w:style w:type="paragraph" w:styleId="14">
    <w:name w:val="List Number"/>
    <w:basedOn w:val="1"/>
    <w:autoRedefine/>
    <w:unhideWhenUsed/>
    <w:qFormat/>
    <w:uiPriority w:val="99"/>
    <w:pPr>
      <w:numPr>
        <w:ilvl w:val="0"/>
        <w:numId w:val="2"/>
      </w:numPr>
      <w:contextualSpacing/>
    </w:pPr>
  </w:style>
  <w:style w:type="paragraph" w:styleId="15">
    <w:name w:val="caption"/>
    <w:basedOn w:val="1"/>
    <w:next w:val="1"/>
    <w:autoRedefine/>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autoRedefine/>
    <w:unhideWhenUsed/>
    <w:qFormat/>
    <w:uiPriority w:val="99"/>
    <w:pPr>
      <w:numPr>
        <w:ilvl w:val="0"/>
        <w:numId w:val="3"/>
      </w:numPr>
      <w:contextualSpacing/>
    </w:pPr>
  </w:style>
  <w:style w:type="paragraph" w:styleId="17">
    <w:name w:val="Body Text 3"/>
    <w:basedOn w:val="1"/>
    <w:link w:val="148"/>
    <w:autoRedefine/>
    <w:unhideWhenUsed/>
    <w:qFormat/>
    <w:uiPriority w:val="99"/>
    <w:pPr>
      <w:spacing w:after="120"/>
    </w:pPr>
    <w:rPr>
      <w:sz w:val="16"/>
      <w:szCs w:val="16"/>
    </w:rPr>
  </w:style>
  <w:style w:type="paragraph" w:styleId="18">
    <w:name w:val="List Bullet 3"/>
    <w:basedOn w:val="1"/>
    <w:autoRedefine/>
    <w:unhideWhenUsed/>
    <w:qFormat/>
    <w:uiPriority w:val="99"/>
    <w:pPr>
      <w:numPr>
        <w:ilvl w:val="0"/>
        <w:numId w:val="4"/>
      </w:numPr>
      <w:contextualSpacing/>
    </w:pPr>
  </w:style>
  <w:style w:type="paragraph" w:styleId="19">
    <w:name w:val="Body Text"/>
    <w:basedOn w:val="1"/>
    <w:link w:val="146"/>
    <w:autoRedefine/>
    <w:unhideWhenUsed/>
    <w:qFormat/>
    <w:uiPriority w:val="99"/>
    <w:pPr>
      <w:spacing w:after="120"/>
    </w:pPr>
  </w:style>
  <w:style w:type="paragraph" w:styleId="20">
    <w:name w:val="List Number 3"/>
    <w:basedOn w:val="1"/>
    <w:autoRedefine/>
    <w:unhideWhenUsed/>
    <w:qFormat/>
    <w:uiPriority w:val="99"/>
    <w:pPr>
      <w:numPr>
        <w:ilvl w:val="0"/>
        <w:numId w:val="5"/>
      </w:numPr>
      <w:contextualSpacing/>
    </w:pPr>
  </w:style>
  <w:style w:type="paragraph" w:styleId="21">
    <w:name w:val="List 2"/>
    <w:basedOn w:val="1"/>
    <w:autoRedefine/>
    <w:unhideWhenUsed/>
    <w:qFormat/>
    <w:uiPriority w:val="99"/>
    <w:pPr>
      <w:ind w:left="720" w:hanging="360"/>
      <w:contextualSpacing/>
    </w:pPr>
  </w:style>
  <w:style w:type="paragraph" w:styleId="22">
    <w:name w:val="List Continue"/>
    <w:basedOn w:val="1"/>
    <w:autoRedefine/>
    <w:unhideWhenUsed/>
    <w:qFormat/>
    <w:uiPriority w:val="99"/>
    <w:pPr>
      <w:spacing w:after="120"/>
      <w:ind w:left="360"/>
      <w:contextualSpacing/>
    </w:pPr>
  </w:style>
  <w:style w:type="paragraph" w:styleId="23">
    <w:name w:val="List Bullet 2"/>
    <w:basedOn w:val="1"/>
    <w:autoRedefine/>
    <w:unhideWhenUsed/>
    <w:qFormat/>
    <w:uiPriority w:val="99"/>
    <w:pPr>
      <w:numPr>
        <w:ilvl w:val="0"/>
        <w:numId w:val="6"/>
      </w:numPr>
      <w:contextualSpacing/>
    </w:pPr>
  </w:style>
  <w:style w:type="paragraph" w:styleId="24">
    <w:name w:val="footer"/>
    <w:basedOn w:val="1"/>
    <w:link w:val="138"/>
    <w:autoRedefine/>
    <w:unhideWhenUsed/>
    <w:qFormat/>
    <w:uiPriority w:val="99"/>
    <w:pPr>
      <w:tabs>
        <w:tab w:val="center" w:pos="4680"/>
        <w:tab w:val="right" w:pos="9360"/>
      </w:tabs>
      <w:spacing w:after="0" w:line="240" w:lineRule="auto"/>
    </w:pPr>
  </w:style>
  <w:style w:type="paragraph" w:styleId="25">
    <w:name w:val="header"/>
    <w:basedOn w:val="1"/>
    <w:link w:val="137"/>
    <w:autoRedefine/>
    <w:unhideWhenUsed/>
    <w:qFormat/>
    <w:uiPriority w:val="99"/>
    <w:pPr>
      <w:tabs>
        <w:tab w:val="center" w:pos="4680"/>
        <w:tab w:val="right" w:pos="9360"/>
      </w:tabs>
      <w:spacing w:after="0" w:line="240" w:lineRule="auto"/>
    </w:pPr>
  </w:style>
  <w:style w:type="paragraph" w:styleId="26">
    <w:name w:val="Subtitle"/>
    <w:basedOn w:val="1"/>
    <w:next w:val="1"/>
    <w:link w:val="144"/>
    <w:autoRedefine/>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autoRedefine/>
    <w:unhideWhenUsed/>
    <w:qFormat/>
    <w:uiPriority w:val="99"/>
    <w:pPr>
      <w:ind w:left="360" w:hanging="360"/>
      <w:contextualSpacing/>
    </w:pPr>
  </w:style>
  <w:style w:type="paragraph" w:styleId="28">
    <w:name w:val="Body Text 2"/>
    <w:basedOn w:val="1"/>
    <w:link w:val="147"/>
    <w:autoRedefine/>
    <w:unhideWhenUsed/>
    <w:qFormat/>
    <w:uiPriority w:val="99"/>
    <w:pPr>
      <w:spacing w:after="120" w:line="480" w:lineRule="auto"/>
    </w:pPr>
  </w:style>
  <w:style w:type="paragraph" w:styleId="29">
    <w:name w:val="List Continue 2"/>
    <w:basedOn w:val="1"/>
    <w:autoRedefine/>
    <w:unhideWhenUsed/>
    <w:qFormat/>
    <w:uiPriority w:val="99"/>
    <w:pPr>
      <w:spacing w:after="120"/>
      <w:ind w:left="720"/>
      <w:contextualSpacing/>
    </w:pPr>
  </w:style>
  <w:style w:type="paragraph" w:styleId="30">
    <w:name w:val="Normal (Web)"/>
    <w:basedOn w:val="1"/>
    <w:autoRedefine/>
    <w:semiHidden/>
    <w:unhideWhenUsed/>
    <w:qFormat/>
    <w:uiPriority w:val="99"/>
    <w:pPr>
      <w:spacing w:before="0" w:beforeAutospacing="1" w:after="0" w:afterAutospacing="1"/>
      <w:ind w:left="0" w:right="0"/>
      <w:jc w:val="left"/>
    </w:pPr>
    <w:rPr>
      <w:kern w:val="0"/>
      <w:sz w:val="24"/>
      <w:lang w:val="en-US" w:eastAsia="zh-CN" w:bidi="ar"/>
    </w:rPr>
  </w:style>
  <w:style w:type="paragraph" w:styleId="31">
    <w:name w:val="List Continue 3"/>
    <w:basedOn w:val="1"/>
    <w:autoRedefine/>
    <w:unhideWhenUsed/>
    <w:qFormat/>
    <w:uiPriority w:val="99"/>
    <w:pPr>
      <w:spacing w:after="120"/>
      <w:ind w:left="1080"/>
      <w:contextualSpacing/>
    </w:pPr>
  </w:style>
  <w:style w:type="paragraph" w:styleId="32">
    <w:name w:val="Title"/>
    <w:basedOn w:val="1"/>
    <w:next w:val="1"/>
    <w:link w:val="143"/>
    <w:autoRedefine/>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4">
    <w:name w:val="Table Grid"/>
    <w:basedOn w:val="33"/>
    <w:autoRedefine/>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5">
    <w:name w:val="Light Shading"/>
    <w:basedOn w:val="33"/>
    <w:autoRedefine/>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6">
    <w:name w:val="Light Shading Accent 1"/>
    <w:basedOn w:val="33"/>
    <w:autoRedefine/>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7">
    <w:name w:val="Light Shading Accent 2"/>
    <w:basedOn w:val="33"/>
    <w:autoRedefine/>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8">
    <w:name w:val="Light Shading Accent 3"/>
    <w:basedOn w:val="33"/>
    <w:autoRedefine/>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9">
    <w:name w:val="Light Shading Accent 4"/>
    <w:basedOn w:val="33"/>
    <w:autoRedefine/>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0">
    <w:name w:val="Light Shading Accent 5"/>
    <w:basedOn w:val="33"/>
    <w:autoRedefine/>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1">
    <w:name w:val="Light Shading Accent 6"/>
    <w:basedOn w:val="33"/>
    <w:autoRedefine/>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2">
    <w:name w:val="Light List"/>
    <w:basedOn w:val="33"/>
    <w:autoRedefine/>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3">
    <w:name w:val="Light List Accent 1"/>
    <w:basedOn w:val="33"/>
    <w:autoRedefine/>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4">
    <w:name w:val="Light List Accent 2"/>
    <w:basedOn w:val="33"/>
    <w:autoRedefine/>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5">
    <w:name w:val="Light List Accent 3"/>
    <w:basedOn w:val="33"/>
    <w:autoRedefine/>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6">
    <w:name w:val="Light List Accent 4"/>
    <w:basedOn w:val="33"/>
    <w:autoRedefine/>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7">
    <w:name w:val="Light List Accent 5"/>
    <w:basedOn w:val="33"/>
    <w:autoRedefine/>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8">
    <w:name w:val="Light List Accent 6"/>
    <w:basedOn w:val="33"/>
    <w:autoRedefine/>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9">
    <w:name w:val="Light Grid"/>
    <w:basedOn w:val="33"/>
    <w:autoRedefine/>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0">
    <w:name w:val="Light Grid Accent 1"/>
    <w:basedOn w:val="33"/>
    <w:autoRedefine/>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1">
    <w:name w:val="Light Grid Accent 2"/>
    <w:basedOn w:val="33"/>
    <w:autoRedefine/>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2">
    <w:name w:val="Light Grid Accent 3"/>
    <w:basedOn w:val="33"/>
    <w:autoRedefine/>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3">
    <w:name w:val="Light Grid Accent 4"/>
    <w:basedOn w:val="33"/>
    <w:autoRedefine/>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4">
    <w:name w:val="Light Grid Accent 5"/>
    <w:basedOn w:val="33"/>
    <w:autoRedefine/>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5">
    <w:name w:val="Light Grid Accent 6"/>
    <w:basedOn w:val="33"/>
    <w:autoRedefine/>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6">
    <w:name w:val="Medium Shading 1"/>
    <w:basedOn w:val="33"/>
    <w:autoRedefine/>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7">
    <w:name w:val="Medium Shading 1 Accent 1"/>
    <w:basedOn w:val="33"/>
    <w:autoRedefine/>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8">
    <w:name w:val="Medium Shading 1 Accent 2"/>
    <w:basedOn w:val="33"/>
    <w:autoRedefine/>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9">
    <w:name w:val="Medium Shading 1 Accent 3"/>
    <w:basedOn w:val="33"/>
    <w:autoRedefine/>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0">
    <w:name w:val="Medium Shading 1 Accent 4"/>
    <w:basedOn w:val="33"/>
    <w:autoRedefine/>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1">
    <w:name w:val="Medium Shading 1 Accent 5"/>
    <w:basedOn w:val="33"/>
    <w:autoRedefine/>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2">
    <w:name w:val="Medium Shading 1 Accent 6"/>
    <w:basedOn w:val="33"/>
    <w:autoRedefine/>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3">
    <w:name w:val="Medium Shading 2"/>
    <w:basedOn w:val="33"/>
    <w:autoRedefine/>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1"/>
    <w:basedOn w:val="33"/>
    <w:autoRedefine/>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2"/>
    <w:basedOn w:val="33"/>
    <w:autoRedefine/>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3"/>
    <w:basedOn w:val="33"/>
    <w:autoRedefine/>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4"/>
    <w:basedOn w:val="33"/>
    <w:autoRedefine/>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5"/>
    <w:basedOn w:val="33"/>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6"/>
    <w:basedOn w:val="33"/>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List 1"/>
    <w:basedOn w:val="33"/>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1">
    <w:name w:val="Medium List 1 Accent 1"/>
    <w:basedOn w:val="33"/>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2">
    <w:name w:val="Medium List 1 Accent 2"/>
    <w:basedOn w:val="33"/>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3">
    <w:name w:val="Medium List 1 Accent 3"/>
    <w:basedOn w:val="33"/>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4">
    <w:name w:val="Medium List 1 Accent 4"/>
    <w:basedOn w:val="33"/>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5">
    <w:name w:val="Medium List 1 Accent 5"/>
    <w:basedOn w:val="33"/>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6">
    <w:name w:val="Medium List 1 Accent 6"/>
    <w:basedOn w:val="33"/>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7">
    <w:name w:val="Medium List 2"/>
    <w:basedOn w:val="33"/>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1"/>
    <w:basedOn w:val="33"/>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2"/>
    <w:basedOn w:val="33"/>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3"/>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4"/>
    <w:basedOn w:val="33"/>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5"/>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6"/>
    <w:basedOn w:val="33"/>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Grid 1"/>
    <w:basedOn w:val="33"/>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5">
    <w:name w:val="Medium Grid 1 Accent 1"/>
    <w:basedOn w:val="33"/>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6">
    <w:name w:val="Medium Grid 1 Accent 2"/>
    <w:basedOn w:val="33"/>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7">
    <w:name w:val="Medium Grid 1 Accent 3"/>
    <w:basedOn w:val="33"/>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8">
    <w:name w:val="Medium Grid 1 Accent 4"/>
    <w:basedOn w:val="33"/>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9">
    <w:name w:val="Medium Grid 1 Accent 5"/>
    <w:basedOn w:val="33"/>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0">
    <w:name w:val="Medium Grid 1 Accent 6"/>
    <w:basedOn w:val="33"/>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33"/>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2">
    <w:name w:val="Medium Grid 2 Accent 1"/>
    <w:basedOn w:val="33"/>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3">
    <w:name w:val="Medium Grid 2 Accent 2"/>
    <w:basedOn w:val="33"/>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33"/>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33"/>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33"/>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33"/>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8">
    <w:name w:val="Medium Grid 3"/>
    <w:basedOn w:val="33"/>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9">
    <w:name w:val="Medium Grid 3 Accent 1"/>
    <w:basedOn w:val="33"/>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0">
    <w:name w:val="Medium Grid 3 Accent 2"/>
    <w:basedOn w:val="33"/>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1">
    <w:name w:val="Medium Grid 3 Accent 3"/>
    <w:basedOn w:val="33"/>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2">
    <w:name w:val="Medium Grid 3 Accent 4"/>
    <w:basedOn w:val="33"/>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3">
    <w:name w:val="Medium Grid 3 Accent 5"/>
    <w:basedOn w:val="33"/>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4">
    <w:name w:val="Medium Grid 3 Accent 6"/>
    <w:basedOn w:val="33"/>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5">
    <w:name w:val="Dark List"/>
    <w:basedOn w:val="33"/>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6">
    <w:name w:val="Dark List Accent 1"/>
    <w:basedOn w:val="33"/>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7">
    <w:name w:val="Dark List Accent 2"/>
    <w:basedOn w:val="33"/>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8">
    <w:name w:val="Dark List Accent 3"/>
    <w:basedOn w:val="33"/>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9">
    <w:name w:val="Dark List Accent 4"/>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0">
    <w:name w:val="Dark List Accent 5"/>
    <w:basedOn w:val="33"/>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1">
    <w:name w:val="Dark List Accent 6"/>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2">
    <w:name w:val="Colorful Shading"/>
    <w:basedOn w:val="33"/>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1"/>
    <w:basedOn w:val="33"/>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2"/>
    <w:basedOn w:val="33"/>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3"/>
    <w:basedOn w:val="33"/>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6">
    <w:name w:val="Colorful Shading Accent 4"/>
    <w:basedOn w:val="33"/>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5"/>
    <w:basedOn w:val="33"/>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Shading Accent 6"/>
    <w:basedOn w:val="33"/>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List"/>
    <w:basedOn w:val="33"/>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0">
    <w:name w:val="Colorful List Accent 1"/>
    <w:basedOn w:val="33"/>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1">
    <w:name w:val="Colorful List Accent 2"/>
    <w:basedOn w:val="33"/>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2">
    <w:name w:val="Colorful List Accent 3"/>
    <w:basedOn w:val="33"/>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3">
    <w:name w:val="Colorful List Accent 4"/>
    <w:basedOn w:val="33"/>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4">
    <w:name w:val="Colorful List Accent 5"/>
    <w:basedOn w:val="33"/>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5">
    <w:name w:val="Colorful List Accent 6"/>
    <w:basedOn w:val="33"/>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6">
    <w:name w:val="Colorful Grid"/>
    <w:basedOn w:val="33"/>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7">
    <w:name w:val="Colorful Grid Accent 1"/>
    <w:basedOn w:val="33"/>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8">
    <w:name w:val="Colorful Grid Accent 2"/>
    <w:basedOn w:val="33"/>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9">
    <w:name w:val="Colorful Grid Accent 3"/>
    <w:basedOn w:val="33"/>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0">
    <w:name w:val="Colorful Grid Accent 4"/>
    <w:basedOn w:val="33"/>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1">
    <w:name w:val="Colorful Grid Accent 5"/>
    <w:basedOn w:val="33"/>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2">
    <w:name w:val="Colorful Grid Accent 6"/>
    <w:basedOn w:val="33"/>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4">
    <w:name w:val="Strong"/>
    <w:basedOn w:val="133"/>
    <w:qFormat/>
    <w:uiPriority w:val="22"/>
    <w:rPr>
      <w:b/>
      <w:bCs/>
    </w:rPr>
  </w:style>
  <w:style w:type="character" w:styleId="135">
    <w:name w:val="Emphasis"/>
    <w:basedOn w:val="133"/>
    <w:qFormat/>
    <w:uiPriority w:val="20"/>
    <w:rPr>
      <w:i/>
      <w:iCs/>
    </w:rPr>
  </w:style>
  <w:style w:type="character" w:styleId="136">
    <w:name w:val="Hyperlink"/>
    <w:basedOn w:val="133"/>
    <w:semiHidden/>
    <w:unhideWhenUsed/>
    <w:uiPriority w:val="99"/>
    <w:rPr>
      <w:color w:val="0000FF"/>
      <w:u w:val="single"/>
    </w:rPr>
  </w:style>
  <w:style w:type="character" w:customStyle="1" w:styleId="137">
    <w:name w:val="Header Char"/>
    <w:basedOn w:val="133"/>
    <w:link w:val="25"/>
    <w:uiPriority w:val="99"/>
  </w:style>
  <w:style w:type="character" w:customStyle="1" w:styleId="138">
    <w:name w:val="Footer Char"/>
    <w:basedOn w:val="133"/>
    <w:link w:val="24"/>
    <w:uiPriority w:val="99"/>
  </w:style>
  <w:style w:type="paragraph" w:styleId="139">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40">
    <w:name w:val="Heading 1 Char"/>
    <w:basedOn w:val="133"/>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41">
    <w:name w:val="Heading 2 Char"/>
    <w:basedOn w:val="133"/>
    <w:link w:val="4"/>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2">
    <w:name w:val="Heading 3 Char"/>
    <w:basedOn w:val="133"/>
    <w:link w:val="5"/>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3">
    <w:name w:val="Title Char"/>
    <w:basedOn w:val="133"/>
    <w:link w:val="32"/>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4">
    <w:name w:val="Subtitle Char"/>
    <w:basedOn w:val="133"/>
    <w:link w:val="26"/>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5">
    <w:name w:val="List Paragraph"/>
    <w:basedOn w:val="1"/>
    <w:qFormat/>
    <w:uiPriority w:val="34"/>
    <w:pPr>
      <w:ind w:left="720"/>
      <w:contextualSpacing/>
    </w:pPr>
  </w:style>
  <w:style w:type="character" w:customStyle="1" w:styleId="146">
    <w:name w:val="Body Text Char"/>
    <w:basedOn w:val="133"/>
    <w:link w:val="19"/>
    <w:uiPriority w:val="99"/>
  </w:style>
  <w:style w:type="character" w:customStyle="1" w:styleId="147">
    <w:name w:val="Body Text 2 Char"/>
    <w:basedOn w:val="133"/>
    <w:link w:val="28"/>
    <w:uiPriority w:val="99"/>
  </w:style>
  <w:style w:type="character" w:customStyle="1" w:styleId="148">
    <w:name w:val="Body Text 3 Char"/>
    <w:basedOn w:val="133"/>
    <w:link w:val="17"/>
    <w:uiPriority w:val="99"/>
    <w:rPr>
      <w:sz w:val="16"/>
      <w:szCs w:val="16"/>
    </w:rPr>
  </w:style>
  <w:style w:type="character" w:customStyle="1" w:styleId="149">
    <w:name w:val="Macro Text Char"/>
    <w:basedOn w:val="133"/>
    <w:link w:val="2"/>
    <w:uiPriority w:val="99"/>
    <w:rPr>
      <w:rFonts w:ascii="Courier" w:hAnsi="Courier"/>
      <w:sz w:val="20"/>
      <w:szCs w:val="20"/>
    </w:rPr>
  </w:style>
  <w:style w:type="paragraph" w:styleId="150">
    <w:name w:val="Quote"/>
    <w:basedOn w:val="1"/>
    <w:next w:val="1"/>
    <w:link w:val="151"/>
    <w:qFormat/>
    <w:uiPriority w:val="29"/>
    <w:rPr>
      <w:i/>
      <w:iCs/>
      <w:color w:val="000000" w:themeColor="text1"/>
      <w14:textFill>
        <w14:solidFill>
          <w14:schemeClr w14:val="tx1"/>
        </w14:solidFill>
      </w14:textFill>
    </w:rPr>
  </w:style>
  <w:style w:type="character" w:customStyle="1" w:styleId="151">
    <w:name w:val="Quote Char"/>
    <w:basedOn w:val="133"/>
    <w:link w:val="150"/>
    <w:qFormat/>
    <w:uiPriority w:val="29"/>
    <w:rPr>
      <w:i/>
      <w:iCs/>
      <w:color w:val="000000" w:themeColor="text1"/>
      <w14:textFill>
        <w14:solidFill>
          <w14:schemeClr w14:val="tx1"/>
        </w14:solidFill>
      </w14:textFill>
    </w:rPr>
  </w:style>
  <w:style w:type="character" w:customStyle="1" w:styleId="152">
    <w:name w:val="Heading 4 Char"/>
    <w:basedOn w:val="133"/>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3">
    <w:name w:val="Heading 5 Char"/>
    <w:basedOn w:val="133"/>
    <w:link w:val="7"/>
    <w:semiHidden/>
    <w:qFormat/>
    <w:uiPriority w:val="9"/>
    <w:rPr>
      <w:rFonts w:asciiTheme="majorHAnsi" w:hAnsiTheme="majorHAnsi" w:eastAsiaTheme="majorEastAsia" w:cstheme="majorBidi"/>
      <w:color w:val="254061" w:themeColor="accent1" w:themeShade="80"/>
    </w:rPr>
  </w:style>
  <w:style w:type="character" w:customStyle="1" w:styleId="154">
    <w:name w:val="Heading 6 Char"/>
    <w:basedOn w:val="133"/>
    <w:link w:val="8"/>
    <w:semiHidden/>
    <w:qFormat/>
    <w:uiPriority w:val="9"/>
    <w:rPr>
      <w:rFonts w:asciiTheme="majorHAnsi" w:hAnsiTheme="majorHAnsi" w:eastAsiaTheme="majorEastAsia" w:cstheme="majorBidi"/>
      <w:i/>
      <w:iCs/>
      <w:color w:val="254061" w:themeColor="accent1" w:themeShade="80"/>
    </w:rPr>
  </w:style>
  <w:style w:type="character" w:customStyle="1" w:styleId="155">
    <w:name w:val="Heading 7 Char"/>
    <w:basedOn w:val="133"/>
    <w:link w:val="9"/>
    <w:semiHidden/>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6">
    <w:name w:val="Heading 8 Char"/>
    <w:basedOn w:val="133"/>
    <w:link w:val="10"/>
    <w:semiHidden/>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7">
    <w:name w:val="Heading 9 Char"/>
    <w:basedOn w:val="133"/>
    <w:link w:val="11"/>
    <w:semiHidden/>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8">
    <w:name w:val="Intense Quote"/>
    <w:basedOn w:val="1"/>
    <w:next w:val="1"/>
    <w:link w:val="159"/>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9">
    <w:name w:val="Intense Quote Char"/>
    <w:basedOn w:val="133"/>
    <w:link w:val="158"/>
    <w:uiPriority w:val="30"/>
    <w:rPr>
      <w:b/>
      <w:bCs/>
      <w:i/>
      <w:iCs/>
      <w:color w:val="4F81BD" w:themeColor="accent1"/>
      <w14:textFill>
        <w14:solidFill>
          <w14:schemeClr w14:val="accent1"/>
        </w14:solidFill>
      </w14:textFill>
    </w:rPr>
  </w:style>
  <w:style w:type="character" w:customStyle="1" w:styleId="160">
    <w:name w:val="Subtle Emphasis"/>
    <w:basedOn w:val="133"/>
    <w:qFormat/>
    <w:uiPriority w:val="19"/>
    <w:rPr>
      <w:i/>
      <w:iCs/>
      <w:color w:val="808080" w:themeColor="text1" w:themeTint="80"/>
      <w14:textFill>
        <w14:solidFill>
          <w14:schemeClr w14:val="tx1">
            <w14:lumMod w14:val="50000"/>
            <w14:lumOff w14:val="50000"/>
          </w14:schemeClr>
        </w14:solidFill>
      </w14:textFill>
    </w:rPr>
  </w:style>
  <w:style w:type="character" w:customStyle="1" w:styleId="161">
    <w:name w:val="Intense Emphasis"/>
    <w:basedOn w:val="133"/>
    <w:qFormat/>
    <w:uiPriority w:val="21"/>
    <w:rPr>
      <w:b/>
      <w:bCs/>
      <w:i/>
      <w:iCs/>
      <w:color w:val="4F81BD" w:themeColor="accent1"/>
      <w14:textFill>
        <w14:solidFill>
          <w14:schemeClr w14:val="accent1"/>
        </w14:solidFill>
      </w14:textFill>
    </w:rPr>
  </w:style>
  <w:style w:type="character" w:customStyle="1" w:styleId="162">
    <w:name w:val="Subtle Reference"/>
    <w:basedOn w:val="133"/>
    <w:qFormat/>
    <w:uiPriority w:val="31"/>
    <w:rPr>
      <w:smallCaps/>
      <w:color w:val="C0504D" w:themeColor="accent2"/>
      <w:u w:val="single"/>
      <w14:textFill>
        <w14:solidFill>
          <w14:schemeClr w14:val="accent2"/>
        </w14:solidFill>
      </w14:textFill>
    </w:rPr>
  </w:style>
  <w:style w:type="character" w:customStyle="1" w:styleId="163">
    <w:name w:val="Intense Reference"/>
    <w:basedOn w:val="133"/>
    <w:qFormat/>
    <w:uiPriority w:val="32"/>
    <w:rPr>
      <w:b/>
      <w:bCs/>
      <w:smallCaps/>
      <w:color w:val="C0504D" w:themeColor="accent2"/>
      <w:spacing w:val="5"/>
      <w:u w:val="single"/>
      <w14:textFill>
        <w14:solidFill>
          <w14:schemeClr w14:val="accent2"/>
        </w14:solidFill>
      </w14:textFill>
    </w:rPr>
  </w:style>
  <w:style w:type="character" w:customStyle="1" w:styleId="164">
    <w:name w:val="Book Title"/>
    <w:basedOn w:val="133"/>
    <w:qFormat/>
    <w:uiPriority w:val="33"/>
    <w:rPr>
      <w:b/>
      <w:bCs/>
      <w:smallCaps/>
      <w:spacing w:val="5"/>
    </w:rPr>
  </w:style>
  <w:style w:type="paragraph" w:customStyle="1" w:styleId="165">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2606</Words>
  <Characters>2649</Characters>
  <Lines>0</Lines>
  <Paragraphs>0</Paragraphs>
  <TotalTime>79</TotalTime>
  <ScaleCrop>false</ScaleCrop>
  <LinksUpToDate>false</LinksUpToDate>
  <CharactersWithSpaces>2649</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cp:lastModifiedBy>
  <dcterms:modified xsi:type="dcterms:W3CDTF">2024-01-22T03:40:08Z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DA4FCBE729184796BE8055F677EB9A70_12</vt:lpwstr>
  </property>
</Properties>
</file>