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bidi w:val="0"/>
        <w:adjustRightInd/>
        <w:snapToGrid/>
        <w:spacing w:line="560" w:lineRule="exact"/>
        <w:textAlignment w:val="auto"/>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附件</w:t>
      </w:r>
      <w:r>
        <w:rPr>
          <w:rFonts w:hint="eastAsia" w:ascii="Times New Roman" w:hAnsi="Times New Roman" w:eastAsia="黑体" w:cs="Times New Roman"/>
          <w:color w:val="000000" w:themeColor="text1"/>
          <w:sz w:val="32"/>
          <w:szCs w:val="32"/>
          <w:highlight w:val="none"/>
          <w:lang w:val="en-US" w:eastAsia="zh-CN"/>
          <w14:textFill>
            <w14:solidFill>
              <w14:schemeClr w14:val="tx1"/>
            </w14:solidFill>
          </w14:textFill>
        </w:rPr>
        <w:t>：</w:t>
      </w:r>
    </w:p>
    <w:p>
      <w:pPr>
        <w:pStyle w:val="6"/>
        <w:keepNext w:val="0"/>
        <w:keepLines w:val="0"/>
        <w:pageBreakBefore w:val="0"/>
        <w:kinsoku/>
        <w:overflowPunct/>
        <w:topLinePunct w:val="0"/>
        <w:autoSpaceDE/>
        <w:bidi w:val="0"/>
        <w:adjustRightInd/>
        <w:snapToGrid/>
        <w:spacing w:after="0" w:afterLines="0" w:line="560" w:lineRule="exact"/>
        <w:textAlignment w:val="auto"/>
        <w:rPr>
          <w:rFonts w:hint="default" w:ascii="Times New Roman" w:hAnsi="Times New Roman" w:cs="Times New Roman"/>
          <w:color w:val="000000" w:themeColor="text1"/>
          <w:lang w:val="en-US" w:eastAsia="zh-CN"/>
          <w14:textFill>
            <w14:solidFill>
              <w14:schemeClr w14:val="tx1"/>
            </w14:solidFill>
          </w14:textFill>
        </w:rPr>
      </w:pPr>
    </w:p>
    <w:p>
      <w:pPr>
        <w:keepNext w:val="0"/>
        <w:keepLines w:val="0"/>
        <w:pageBreakBefore w:val="0"/>
        <w:kinsoku/>
        <w:wordWrap/>
        <w:overflowPunct/>
        <w:topLinePunct w:val="0"/>
        <w:autoSpaceDE/>
        <w:bidi w:val="0"/>
        <w:adjustRightInd/>
        <w:snapToGrid/>
        <w:spacing w:line="560" w:lineRule="exact"/>
        <w:jc w:val="center"/>
        <w:textAlignment w:val="auto"/>
        <w:rPr>
          <w:rFonts w:hint="default" w:ascii="Times New Roman" w:hAnsi="Times New Roman" w:eastAsia="方正小标宋简体" w:cs="Times New Roman"/>
          <w:b w:val="0"/>
          <w:bCs w:val="0"/>
          <w:color w:val="000000" w:themeColor="text1"/>
          <w:sz w:val="44"/>
          <w:lang w:val="en-US" w:eastAsia="zh-CN"/>
          <w14:textFill>
            <w14:solidFill>
              <w14:schemeClr w14:val="tx1"/>
            </w14:solidFill>
          </w14:textFill>
        </w:rPr>
      </w:pPr>
      <w:r>
        <w:rPr>
          <w:rFonts w:hint="default" w:ascii="Times New Roman" w:hAnsi="Times New Roman" w:eastAsia="方正小标宋简体" w:cs="Times New Roman"/>
          <w:b w:val="0"/>
          <w:bCs w:val="0"/>
          <w:color w:val="000000" w:themeColor="text1"/>
          <w:sz w:val="44"/>
          <w:lang w:val="en-US" w:eastAsia="zh-CN"/>
          <w14:textFill>
            <w14:solidFill>
              <w14:schemeClr w14:val="tx1"/>
            </w14:solidFill>
          </w14:textFill>
        </w:rPr>
        <w:t>2026年三亚科技</w:t>
      </w:r>
      <w:r>
        <w:rPr>
          <w:rFonts w:hint="eastAsia" w:ascii="Times New Roman" w:hAnsi="Times New Roman" w:eastAsia="方正小标宋简体" w:cs="Times New Roman"/>
          <w:b w:val="0"/>
          <w:bCs w:val="0"/>
          <w:color w:val="000000" w:themeColor="text1"/>
          <w:sz w:val="44"/>
          <w:lang w:val="en-US" w:eastAsia="zh-CN"/>
          <w14:textFill>
            <w14:solidFill>
              <w14:schemeClr w14:val="tx1"/>
            </w14:solidFill>
          </w14:textFill>
        </w:rPr>
        <w:t>“</w:t>
      </w:r>
      <w:r>
        <w:rPr>
          <w:rFonts w:hint="default" w:ascii="Times New Roman" w:hAnsi="Times New Roman" w:eastAsia="方正小标宋简体" w:cs="Times New Roman"/>
          <w:b w:val="0"/>
          <w:bCs w:val="0"/>
          <w:color w:val="000000" w:themeColor="text1"/>
          <w:sz w:val="44"/>
          <w:lang w:val="en-US" w:eastAsia="zh-CN"/>
          <w14:textFill>
            <w14:solidFill>
              <w14:schemeClr w14:val="tx1"/>
            </w14:solidFill>
          </w14:textFill>
        </w:rPr>
        <w:t>繁星</w:t>
      </w:r>
      <w:r>
        <w:rPr>
          <w:rFonts w:hint="eastAsia" w:ascii="Times New Roman" w:hAnsi="Times New Roman" w:eastAsia="方正小标宋简体" w:cs="Times New Roman"/>
          <w:b w:val="0"/>
          <w:bCs w:val="0"/>
          <w:color w:val="000000" w:themeColor="text1"/>
          <w:sz w:val="44"/>
          <w:lang w:val="en-US" w:eastAsia="zh-CN"/>
          <w14:textFill>
            <w14:solidFill>
              <w14:schemeClr w14:val="tx1"/>
            </w14:solidFill>
          </w14:textFill>
        </w:rPr>
        <w:t>”</w:t>
      </w:r>
      <w:r>
        <w:rPr>
          <w:rFonts w:hint="default" w:ascii="Times New Roman" w:hAnsi="Times New Roman" w:eastAsia="方正小标宋简体" w:cs="Times New Roman"/>
          <w:b w:val="0"/>
          <w:bCs w:val="0"/>
          <w:color w:val="000000" w:themeColor="text1"/>
          <w:sz w:val="44"/>
          <w:lang w:val="en-US" w:eastAsia="zh-CN"/>
          <w14:textFill>
            <w14:solidFill>
              <w14:schemeClr w14:val="tx1"/>
            </w14:solidFill>
          </w14:textFill>
        </w:rPr>
        <w:t>专项科研项目</w:t>
      </w:r>
    </w:p>
    <w:p>
      <w:pPr>
        <w:keepNext w:val="0"/>
        <w:keepLines w:val="0"/>
        <w:pageBreakBefore w:val="0"/>
        <w:kinsoku/>
        <w:wordWrap/>
        <w:overflowPunct/>
        <w:topLinePunct w:val="0"/>
        <w:autoSpaceDE/>
        <w:bidi w:val="0"/>
        <w:adjustRightInd/>
        <w:snapToGrid/>
        <w:spacing w:line="560" w:lineRule="exact"/>
        <w:jc w:val="center"/>
        <w:textAlignment w:val="auto"/>
        <w:rPr>
          <w:rFonts w:hint="default" w:ascii="Times New Roman" w:hAnsi="Times New Roman" w:eastAsia="方正小标宋简体" w:cs="Times New Roman"/>
          <w:b w:val="0"/>
          <w:bCs w:val="0"/>
          <w:color w:val="000000" w:themeColor="text1"/>
          <w:sz w:val="44"/>
          <w:lang w:val="en-US" w:eastAsia="zh-CN"/>
          <w14:textFill>
            <w14:solidFill>
              <w14:schemeClr w14:val="tx1"/>
            </w14:solidFill>
          </w14:textFill>
        </w:rPr>
      </w:pPr>
      <w:r>
        <w:rPr>
          <w:rFonts w:hint="default" w:ascii="Times New Roman" w:hAnsi="Times New Roman" w:eastAsia="方正小标宋简体" w:cs="Times New Roman"/>
          <w:b w:val="0"/>
          <w:bCs w:val="0"/>
          <w:color w:val="000000" w:themeColor="text1"/>
          <w:sz w:val="44"/>
          <w:lang w:val="en-US" w:eastAsia="zh-CN"/>
          <w14:textFill>
            <w14:solidFill>
              <w14:schemeClr w14:val="tx1"/>
            </w14:solidFill>
          </w14:textFill>
        </w:rPr>
        <w:t>申报指南</w:t>
      </w:r>
    </w:p>
    <w:p>
      <w:pPr>
        <w:keepNext w:val="0"/>
        <w:keepLines w:val="0"/>
        <w:pageBreakBefore w:val="0"/>
        <w:kinsoku/>
        <w:wordWrap/>
        <w:overflowPunct/>
        <w:topLinePunct w:val="0"/>
        <w:autoSpaceDE/>
        <w:bidi w:val="0"/>
        <w:adjustRightInd/>
        <w:snapToGrid/>
        <w:spacing w:line="560" w:lineRule="exact"/>
        <w:jc w:val="both"/>
        <w:textAlignment w:val="auto"/>
        <w:rPr>
          <w:rFonts w:hint="default" w:ascii="Times New Roman" w:hAnsi="Times New Roman" w:eastAsia="方正小标宋_GBK" w:cs="Times New Roman"/>
          <w:color w:val="000000" w:themeColor="text1"/>
          <w:sz w:val="44"/>
          <w14:textFill>
            <w14:solidFill>
              <w14:schemeClr w14:val="tx1"/>
            </w14:solidFill>
          </w14:textFill>
        </w:rPr>
      </w:pPr>
    </w:p>
    <w:p>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三亚市科技</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“繁星”</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专项聚焦</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重点</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产业科技创新发展需求，</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围绕</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我市</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深海科技</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、南繁种业、</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高新技术等领域的关键核心技术，开展基础研究、应用技术研究、集成创新和引进消化吸收再创新，</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培养科技人才，</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促进科技</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进步</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依据</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《三亚市科技项目与经费管理办法》等有关规定，</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经公开征集意见，</w:t>
      </w:r>
      <w:r>
        <w:rPr>
          <w:rFonts w:hint="eastAsia" w:ascii="仿宋_GB2312" w:hAnsi="仿宋_GB2312" w:eastAsia="仿宋_GB2312" w:cs="仿宋_GB2312"/>
          <w:color w:val="000000" w:themeColor="text1"/>
          <w:sz w:val="32"/>
          <w:szCs w:val="32"/>
          <w:highlight w:val="none"/>
          <w14:textFill>
            <w14:solidFill>
              <w14:schemeClr w14:val="tx1"/>
            </w14:solidFill>
          </w14:textFill>
        </w:rPr>
        <w:t>结合我市</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经济社会发展和科技发展规划部署</w:t>
      </w:r>
      <w:r>
        <w:rPr>
          <w:rFonts w:hint="eastAsia" w:ascii="仿宋_GB2312" w:hAnsi="仿宋_GB2312" w:eastAsia="仿宋_GB2312" w:cs="仿宋_GB2312"/>
          <w:color w:val="000000" w:themeColor="text1"/>
          <w:sz w:val="32"/>
          <w:szCs w:val="32"/>
          <w:highlight w:val="none"/>
          <w14:textFill>
            <w14:solidFill>
              <w14:schemeClr w14:val="tx1"/>
            </w14:solidFill>
          </w14:textFill>
        </w:rPr>
        <w:t>实际，制定本指南。</w:t>
      </w:r>
    </w:p>
    <w:p>
      <w:pPr>
        <w:keepNext w:val="0"/>
        <w:keepLines w:val="0"/>
        <w:pageBreakBefore w:val="0"/>
        <w:widowControl/>
        <w:suppressLineNumbers w:val="0"/>
        <w:shd w:val="clear" w:fill="FFFFFF"/>
        <w:kinsoku/>
        <w:overflowPunct/>
        <w:topLinePunct w:val="0"/>
        <w:bidi w:val="0"/>
        <w:spacing w:before="0" w:beforeAutospacing="0" w:afterAutospacing="0" w:line="560" w:lineRule="exact"/>
        <w:ind w:right="0" w:firstLine="640" w:firstLineChars="200"/>
        <w:jc w:val="both"/>
        <w:rPr>
          <w:rFonts w:hint="default" w:ascii="宋体" w:hAnsi="宋体" w:eastAsia="宋体" w:cs="宋体"/>
          <w:i w:val="0"/>
          <w:caps w:val="0"/>
          <w:color w:val="000000" w:themeColor="text1"/>
          <w:spacing w:val="0"/>
          <w:sz w:val="21"/>
          <w:szCs w:val="21"/>
          <w:lang w:val="en-US"/>
          <w14:textFill>
            <w14:solidFill>
              <w14:schemeClr w14:val="tx1"/>
            </w14:solidFill>
          </w14:textFill>
        </w:rPr>
      </w:pPr>
      <w:r>
        <w:rPr>
          <w:rFonts w:hint="eastAsia" w:ascii="Times New Roman" w:hAnsi="Times New Roman" w:eastAsia="黑体" w:cs="Times New Roman"/>
          <w:color w:val="000000" w:themeColor="text1"/>
          <w:sz w:val="32"/>
          <w:szCs w:val="32"/>
          <w:highlight w:val="none"/>
          <w:lang w:val="en-US" w:eastAsia="zh-CN"/>
          <w14:textFill>
            <w14:solidFill>
              <w14:schemeClr w14:val="tx1"/>
            </w14:solidFill>
          </w14:textFill>
        </w:rPr>
        <w:t>一、项目类别</w:t>
      </w:r>
    </w:p>
    <w:p>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三亚</w:t>
      </w:r>
      <w:r>
        <w:rPr>
          <w:rFonts w:hint="eastAsia" w:ascii="仿宋_GB2312" w:hAnsi="仿宋_GB2312" w:eastAsia="仿宋_GB2312" w:cs="仿宋_GB2312"/>
          <w:color w:val="000000" w:themeColor="text1"/>
          <w:sz w:val="32"/>
          <w:szCs w:val="32"/>
          <w:highlight w:val="none"/>
          <w14:textFill>
            <w14:solidFill>
              <w14:schemeClr w14:val="tx1"/>
            </w14:solidFill>
          </w14:textFill>
        </w:rPr>
        <w:t>市科技</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繁星</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专项科研</w:t>
      </w:r>
      <w:r>
        <w:rPr>
          <w:rFonts w:hint="eastAsia" w:ascii="仿宋_GB2312" w:hAnsi="仿宋_GB2312" w:eastAsia="仿宋_GB2312" w:cs="仿宋_GB2312"/>
          <w:color w:val="000000" w:themeColor="text1"/>
          <w:sz w:val="32"/>
          <w:szCs w:val="32"/>
          <w:highlight w:val="none"/>
          <w14:textFill>
            <w14:solidFill>
              <w14:schemeClr w14:val="tx1"/>
            </w14:solidFill>
          </w14:textFill>
        </w:rPr>
        <w:t>项目分为</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四类，分别是</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基础研究项目、</w:t>
      </w:r>
      <w:r>
        <w:rPr>
          <w:rFonts w:hint="eastAsia" w:ascii="仿宋_GB2312" w:hAnsi="仿宋_GB2312" w:eastAsia="仿宋_GB2312" w:cs="仿宋_GB2312"/>
          <w:i w:val="0"/>
          <w:caps w:val="0"/>
          <w:color w:val="000000" w:themeColor="text1"/>
          <w:spacing w:val="0"/>
          <w:kern w:val="2"/>
          <w:sz w:val="32"/>
          <w:szCs w:val="32"/>
          <w:lang w:val="en-US" w:eastAsia="zh-CN" w:bidi="zh-CN"/>
          <w14:textFill>
            <w14:solidFill>
              <w14:schemeClr w14:val="tx1"/>
            </w14:solidFill>
          </w14:textFill>
        </w:rPr>
        <w:t>医疗卫生专项联合</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项目、科技成果转化项目和青年科技人才项目。</w:t>
      </w:r>
    </w:p>
    <w:p>
      <w:pPr>
        <w:keepNext w:val="0"/>
        <w:keepLines w:val="0"/>
        <w:pageBreakBefore w:val="0"/>
        <w:kinsoku/>
        <w:wordWrap/>
        <w:overflowPunct/>
        <w:topLinePunct w:val="0"/>
        <w:autoSpaceDE/>
        <w:bidi w:val="0"/>
        <w:adjustRightInd/>
        <w:snapToGrid/>
        <w:spacing w:line="560" w:lineRule="exact"/>
        <w:ind w:firstLine="642" w:firstLineChars="200"/>
        <w:jc w:val="both"/>
        <w:textAlignment w:val="auto"/>
        <w:rPr>
          <w:rFonts w:hint="eastAsia" w:ascii="楷体_GB2312" w:hAnsi="楷体_GB2312" w:eastAsia="楷体_GB2312" w:cs="楷体_GB2312"/>
          <w:b/>
          <w:bCs/>
          <w:color w:val="000000" w:themeColor="text1"/>
          <w:kern w:val="2"/>
          <w:sz w:val="32"/>
          <w:szCs w:val="32"/>
          <w:highlight w:val="none"/>
          <w:lang w:val="en-US" w:eastAsia="zh-CN" w:bidi="ar-SA"/>
          <w14:textFill>
            <w14:solidFill>
              <w14:schemeClr w14:val="tx1"/>
            </w14:solidFill>
          </w14:textFill>
        </w:rPr>
      </w:pPr>
      <w:r>
        <w:rPr>
          <w:rFonts w:hint="eastAsia" w:ascii="楷体_GB2312" w:hAnsi="楷体_GB2312" w:eastAsia="楷体_GB2312" w:cs="楷体_GB2312"/>
          <w:b/>
          <w:bCs/>
          <w:color w:val="000000" w:themeColor="text1"/>
          <w:kern w:val="2"/>
          <w:sz w:val="32"/>
          <w:szCs w:val="32"/>
          <w:highlight w:val="none"/>
          <w:lang w:val="en-US" w:eastAsia="zh-CN" w:bidi="ar-SA"/>
          <w14:textFill>
            <w14:solidFill>
              <w14:schemeClr w14:val="tx1"/>
            </w14:solidFill>
          </w14:textFill>
        </w:rPr>
        <w:t>（一）基础研究项目</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themeColor="text1"/>
          <w:sz w:val="32"/>
          <w:szCs w:val="32"/>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bidi="ar"/>
          <w14:textFill>
            <w14:solidFill>
              <w14:schemeClr w14:val="tx1"/>
            </w14:solidFill>
          </w14:textFill>
        </w:rPr>
        <w:t>主要支持</w:t>
      </w:r>
      <w:r>
        <w:rPr>
          <w:rFonts w:hint="default" w:ascii="仿宋_GB2312" w:hAnsi="仿宋_GB2312" w:eastAsia="仿宋_GB2312" w:cs="仿宋_GB2312"/>
          <w:color w:val="000000" w:themeColor="text1"/>
          <w:sz w:val="32"/>
          <w:szCs w:val="32"/>
          <w:highlight w:val="none"/>
          <w14:textFill>
            <w14:solidFill>
              <w14:schemeClr w14:val="tx1"/>
            </w14:solidFill>
          </w14:textFill>
        </w:rPr>
        <w:t>高</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等院</w:t>
      </w:r>
      <w:r>
        <w:rPr>
          <w:rFonts w:hint="default" w:ascii="仿宋_GB2312" w:hAnsi="仿宋_GB2312" w:eastAsia="仿宋_GB2312" w:cs="仿宋_GB2312"/>
          <w:color w:val="000000" w:themeColor="text1"/>
          <w:sz w:val="32"/>
          <w:szCs w:val="32"/>
          <w:highlight w:val="none"/>
          <w14:textFill>
            <w14:solidFill>
              <w14:schemeClr w14:val="tx1"/>
            </w14:solidFill>
          </w14:textFill>
        </w:rPr>
        <w:t>校、科研院所、</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新型研发机构</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与科技企业</w:t>
      </w:r>
      <w:r>
        <w:rPr>
          <w:rFonts w:hint="eastAsia" w:ascii="Times New Roman" w:hAnsi="Times New Roman" w:eastAsia="仿宋_GB2312" w:cs="Times New Roman"/>
          <w:color w:val="000000" w:themeColor="text1"/>
          <w:sz w:val="32"/>
          <w:szCs w:val="32"/>
          <w:highlight w:val="none"/>
          <w:lang w:val="en-US" w:eastAsia="zh-CN" w:bidi="ar"/>
          <w14:textFill>
            <w14:solidFill>
              <w14:schemeClr w14:val="tx1"/>
            </w14:solidFill>
          </w14:textFill>
        </w:rPr>
        <w:t>，围绕市委、市政府部署的重要科技工作，</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聚焦</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重点</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产业科技创新发展需求</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开展基础研究</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和</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应用</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技术</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研究</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p>
    <w:p>
      <w:pPr>
        <w:keepNext w:val="0"/>
        <w:keepLines w:val="0"/>
        <w:pageBreakBefore w:val="0"/>
        <w:kinsoku/>
        <w:wordWrap/>
        <w:overflowPunct/>
        <w:topLinePunct w:val="0"/>
        <w:autoSpaceDE/>
        <w:bidi w:val="0"/>
        <w:adjustRightInd/>
        <w:snapToGrid/>
        <w:spacing w:line="560" w:lineRule="exact"/>
        <w:ind w:firstLine="642" w:firstLineChars="200"/>
        <w:jc w:val="both"/>
        <w:textAlignment w:val="auto"/>
        <w:rPr>
          <w:rFonts w:hint="default" w:ascii="Nimbus Roman No9 L" w:hAnsi="Nimbus Roman No9 L" w:eastAsia="仿宋_GB2312" w:cs="Nimbus Roman No9 L"/>
          <w:color w:val="000000" w:themeColor="text1"/>
          <w:sz w:val="32"/>
          <w:szCs w:val="32"/>
          <w:highlight w:val="none"/>
          <w:lang w:val="en-US" w:eastAsia="zh-CN" w:bidi="ar"/>
          <w14:textFill>
            <w14:solidFill>
              <w14:schemeClr w14:val="tx1"/>
            </w14:solidFill>
          </w14:textFill>
        </w:rPr>
      </w:pPr>
      <w:r>
        <w:rPr>
          <w:rFonts w:hint="eastAsia" w:ascii="楷体_GB2312" w:hAnsi="楷体_GB2312" w:eastAsia="楷体_GB2312" w:cs="楷体_GB2312"/>
          <w:b/>
          <w:bCs/>
          <w:color w:val="000000" w:themeColor="text1"/>
          <w:kern w:val="2"/>
          <w:sz w:val="32"/>
          <w:szCs w:val="32"/>
          <w:highlight w:val="none"/>
          <w:lang w:val="en-US" w:eastAsia="zh-CN" w:bidi="ar-SA"/>
          <w14:textFill>
            <w14:solidFill>
              <w14:schemeClr w14:val="tx1"/>
            </w14:solidFill>
          </w14:textFill>
        </w:rPr>
        <w:t>（二）医疗卫生专项联合项目</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640" w:firstLineChars="200"/>
        <w:jc w:val="left"/>
        <w:textAlignment w:val="auto"/>
        <w:rPr>
          <w:rFonts w:hint="eastAsia" w:ascii="仿宋_GB2312" w:hAnsi="仿宋_GB2312" w:eastAsia="仿宋_GB2312" w:cs="仿宋_GB2312"/>
          <w:i w:val="0"/>
          <w:caps w:val="0"/>
          <w:color w:val="000000" w:themeColor="text1"/>
          <w:spacing w:val="0"/>
          <w:sz w:val="32"/>
          <w:szCs w:val="32"/>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kern w:val="2"/>
          <w:sz w:val="32"/>
          <w:szCs w:val="32"/>
          <w:lang w:val="en-US" w:eastAsia="zh-CN" w:bidi="zh-CN"/>
          <w14:textFill>
            <w14:solidFill>
              <w14:schemeClr w14:val="tx1"/>
            </w14:solidFill>
          </w14:textFill>
        </w:rPr>
        <w:t>结合本区域医疗卫生事业发展需求，支持医疗卫生科研机构围绕</w:t>
      </w:r>
      <w:r>
        <w:rPr>
          <w:rFonts w:hint="eastAsia" w:ascii="仿宋_GB2312" w:hAnsi="仿宋_GB2312" w:eastAsia="仿宋_GB2312" w:cs="仿宋_GB2312"/>
          <w:i w:val="0"/>
          <w:caps w:val="0"/>
          <w:color w:val="000000" w:themeColor="text1"/>
          <w:spacing w:val="0"/>
          <w:sz w:val="32"/>
          <w:szCs w:val="32"/>
          <w:lang w:val="en-US" w:eastAsia="zh-CN"/>
          <w14:textFill>
            <w14:solidFill>
              <w14:schemeClr w14:val="tx1"/>
            </w14:solidFill>
          </w14:textFill>
        </w:rPr>
        <w:t>常见病、疑难病、重大疾病、传染病防控防治和特色专科疾病诊疗等方面开展新技术、新方法的研究，提升医疗卫生机构科研水平和诊疗水平。</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642" w:firstLineChars="200"/>
        <w:jc w:val="left"/>
        <w:textAlignment w:val="auto"/>
        <w:rPr>
          <w:rFonts w:hint="eastAsia" w:ascii="楷体_GB2312" w:hAnsi="楷体_GB2312" w:eastAsia="楷体_GB2312" w:cs="楷体_GB2312"/>
          <w:b/>
          <w:bCs/>
          <w:color w:val="000000" w:themeColor="text1"/>
          <w:kern w:val="2"/>
          <w:sz w:val="32"/>
          <w:szCs w:val="32"/>
          <w:highlight w:val="none"/>
          <w:lang w:val="en-US" w:eastAsia="zh-CN" w:bidi="ar-SA"/>
          <w14:textFill>
            <w14:solidFill>
              <w14:schemeClr w14:val="tx1"/>
            </w14:solidFill>
          </w14:textFill>
        </w:rPr>
      </w:pPr>
      <w:r>
        <w:rPr>
          <w:rFonts w:hint="eastAsia" w:ascii="楷体_GB2312" w:hAnsi="楷体_GB2312" w:eastAsia="楷体_GB2312" w:cs="楷体_GB2312"/>
          <w:b/>
          <w:bCs/>
          <w:color w:val="000000" w:themeColor="text1"/>
          <w:kern w:val="2"/>
          <w:sz w:val="32"/>
          <w:szCs w:val="32"/>
          <w:highlight w:val="none"/>
          <w:lang w:val="en-US" w:eastAsia="zh-CN" w:bidi="ar-SA"/>
          <w14:textFill>
            <w14:solidFill>
              <w14:schemeClr w14:val="tx1"/>
            </w14:solidFill>
          </w14:textFill>
        </w:rPr>
        <w:t>（三）科技成果转化项目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以市场需求前景为方向设立科研项目，支持</w:t>
      </w:r>
      <w:r>
        <w:rPr>
          <w:rFonts w:hint="default" w:ascii="仿宋_GB2312" w:hAnsi="仿宋_GB2312" w:eastAsia="仿宋_GB2312" w:cs="仿宋_GB2312"/>
          <w:color w:val="000000" w:themeColor="text1"/>
          <w:sz w:val="32"/>
          <w:szCs w:val="32"/>
          <w:highlight w:val="none"/>
          <w14:textFill>
            <w14:solidFill>
              <w14:schemeClr w14:val="tx1"/>
            </w14:solidFill>
          </w14:textFill>
        </w:rPr>
        <w:t>高</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等院</w:t>
      </w:r>
      <w:r>
        <w:rPr>
          <w:rFonts w:hint="default" w:ascii="仿宋_GB2312" w:hAnsi="仿宋_GB2312" w:eastAsia="仿宋_GB2312" w:cs="仿宋_GB2312"/>
          <w:color w:val="000000" w:themeColor="text1"/>
          <w:sz w:val="32"/>
          <w:szCs w:val="32"/>
          <w:highlight w:val="none"/>
          <w14:textFill>
            <w14:solidFill>
              <w14:schemeClr w14:val="tx1"/>
            </w14:solidFill>
          </w14:textFill>
        </w:rPr>
        <w:t>校、科研院所、</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新型研发机构</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与企业共同开展研发和成果转化，推动研发成果进行产业化示范，推广应用新技术、新工艺促进科技企业生产服务效能提升。鼓励科研院校深化职务科技成果改革，同等条件下优先支持职务科技成果改革的项目。</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color w:val="000000" w:themeColor="text1"/>
          <w:sz w:val="32"/>
          <w:szCs w:val="32"/>
          <w:highlight w:val="none"/>
          <w:lang w:val="en-US" w:eastAsia="zh-CN" w:bidi="ar"/>
          <w14:textFill>
            <w14:solidFill>
              <w14:schemeClr w14:val="tx1"/>
            </w14:solidFill>
          </w14:textFill>
        </w:rPr>
      </w:pPr>
      <w:r>
        <w:rPr>
          <w:rFonts w:hint="eastAsia" w:ascii="楷体_GB2312" w:hAnsi="楷体_GB2312" w:eastAsia="楷体_GB2312" w:cs="楷体_GB2312"/>
          <w:b/>
          <w:bCs/>
          <w:color w:val="000000" w:themeColor="text1"/>
          <w:kern w:val="2"/>
          <w:sz w:val="32"/>
          <w:szCs w:val="32"/>
          <w:highlight w:val="none"/>
          <w:lang w:val="en-US" w:eastAsia="zh-CN" w:bidi="ar-SA"/>
          <w14:textFill>
            <w14:solidFill>
              <w14:schemeClr w14:val="tx1"/>
            </w14:solidFill>
          </w14:textFill>
        </w:rPr>
        <w:t xml:space="preserve">（四）青年科技人才项目 </w:t>
      </w:r>
      <w:r>
        <w:rPr>
          <w:rFonts w:hint="eastAsia" w:ascii="Times New Roman" w:hAnsi="Times New Roman" w:eastAsia="仿宋_GB2312" w:cs="Times New Roman"/>
          <w:color w:val="000000" w:themeColor="text1"/>
          <w:sz w:val="32"/>
          <w:szCs w:val="32"/>
          <w:highlight w:val="none"/>
          <w:lang w:val="en-US" w:eastAsia="zh-CN" w:bidi="ar"/>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项目旨在支持和培养青年科技人才（截至时间2026年12月31日年龄在40岁（含）以下），鼓励青年科技人才牵头担任科研项目负责人，聚焦我市科技创新的重点领域，开展创新研究、技术攻关、成果转化</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p>
    <w:p>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default" w:ascii="Times New Roman" w:hAnsi="Times New Roman" w:eastAsia="黑体" w:cs="Times New Roman"/>
          <w:color w:val="000000" w:themeColor="text1"/>
          <w:sz w:val="32"/>
          <w:szCs w:val="32"/>
          <w:highlight w:val="none"/>
          <w14:textFill>
            <w14:solidFill>
              <w14:schemeClr w14:val="tx1"/>
            </w14:solidFill>
          </w14:textFill>
        </w:rPr>
      </w:pPr>
      <w:r>
        <w:rPr>
          <w:rFonts w:hint="eastAsia" w:ascii="Times New Roman" w:hAnsi="Times New Roman" w:eastAsia="黑体" w:cs="Times New Roman"/>
          <w:color w:val="000000" w:themeColor="text1"/>
          <w:sz w:val="32"/>
          <w:szCs w:val="32"/>
          <w:highlight w:val="none"/>
          <w:lang w:val="en-US" w:eastAsia="zh-CN"/>
          <w14:textFill>
            <w14:solidFill>
              <w14:schemeClr w14:val="tx1"/>
            </w14:solidFill>
          </w14:textFill>
        </w:rPr>
        <w:t>二</w:t>
      </w:r>
      <w:r>
        <w:rPr>
          <w:rFonts w:hint="default" w:ascii="Times New Roman" w:hAnsi="Times New Roman" w:eastAsia="黑体" w:cs="Times New Roman"/>
          <w:color w:val="000000" w:themeColor="text1"/>
          <w:sz w:val="32"/>
          <w:szCs w:val="32"/>
          <w:highlight w:val="none"/>
          <w14:textFill>
            <w14:solidFill>
              <w14:schemeClr w14:val="tx1"/>
            </w14:solidFill>
          </w14:textFill>
        </w:rPr>
        <w:t>、申报要求</w:t>
      </w:r>
    </w:p>
    <w:p>
      <w:pPr>
        <w:keepNext w:val="0"/>
        <w:keepLines w:val="0"/>
        <w:pageBreakBefore w:val="0"/>
        <w:widowControl w:val="0"/>
        <w:kinsoku/>
        <w:wordWrap/>
        <w:overflowPunct/>
        <w:topLinePunct w:val="0"/>
        <w:bidi w:val="0"/>
        <w:spacing w:line="560" w:lineRule="exact"/>
        <w:ind w:firstLine="642" w:firstLineChars="200"/>
        <w:textAlignment w:val="auto"/>
        <w:rPr>
          <w:rFonts w:hint="default" w:ascii="楷体_GB2312" w:hAnsi="楷体_GB2312" w:eastAsia="楷体_GB2312" w:cs="楷体_GB2312"/>
          <w:b/>
          <w:bCs/>
          <w:color w:val="000000" w:themeColor="text1"/>
          <w:sz w:val="32"/>
          <w:szCs w:val="32"/>
          <w:highlight w:val="none"/>
          <w:lang w:eastAsia="zh-CN"/>
          <w14:textFill>
            <w14:solidFill>
              <w14:schemeClr w14:val="tx1"/>
            </w14:solidFill>
          </w14:textFill>
        </w:rPr>
      </w:pPr>
      <w:r>
        <w:rPr>
          <w:rFonts w:hint="default" w:ascii="楷体_GB2312" w:hAnsi="楷体_GB2312" w:eastAsia="楷体_GB2312" w:cs="楷体_GB2312"/>
          <w:b/>
          <w:bCs/>
          <w:color w:val="000000" w:themeColor="text1"/>
          <w:sz w:val="32"/>
          <w:szCs w:val="32"/>
          <w:highlight w:val="none"/>
          <w:lang w:eastAsia="zh-CN"/>
          <w14:textFill>
            <w14:solidFill>
              <w14:schemeClr w14:val="tx1"/>
            </w14:solidFill>
          </w14:textFill>
        </w:rPr>
        <w:t>（一）申报单位的基本条件与要求</w:t>
      </w:r>
    </w:p>
    <w:p>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1.项目</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申报单位</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包括牵头申报单位和</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合作</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申报单位</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应具有独立法人资格</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牵头申报单位</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主要</w:t>
      </w:r>
      <w:r>
        <w:rPr>
          <w:rFonts w:hint="default" w:ascii="Times-Roman" w:hAnsi="Times-Roman" w:eastAsia="仿宋_GB2312" w:cs="Times-Roman"/>
          <w:color w:val="000000" w:themeColor="text1"/>
          <w:sz w:val="32"/>
          <w:szCs w:val="32"/>
          <w:highlight w:val="none"/>
          <w14:textFill>
            <w14:solidFill>
              <w14:schemeClr w14:val="tx1"/>
            </w14:solidFill>
          </w14:textFill>
        </w:rPr>
        <w:t>研发活动</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在本区域内</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项目</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不受理个人申报</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p>
    <w:p>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项目申报单位运行管理规范，具有与项目实施相匹配的基础条件，财务状况良好，有研发经费投入，具有完成项目所必备的人才条件和技术装备等匹配条件</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bidi="ar"/>
          <w14:textFill>
            <w14:solidFill>
              <w14:schemeClr w14:val="tx1"/>
            </w14:solidFill>
          </w14:textFill>
        </w:rPr>
        <w:t>3.</w:t>
      </w:r>
      <w:r>
        <w:rPr>
          <w:rFonts w:hint="default" w:ascii="Times New Roman" w:hAnsi="Times New Roman" w:eastAsia="仿宋_GB2312" w:cs="Times New Roman"/>
          <w:color w:val="000000" w:themeColor="text1"/>
          <w:sz w:val="32"/>
          <w:szCs w:val="32"/>
          <w:highlight w:val="none"/>
          <w:lang w:bidi="ar"/>
          <w14:textFill>
            <w14:solidFill>
              <w14:schemeClr w14:val="tx1"/>
            </w14:solidFill>
          </w14:textFill>
        </w:rPr>
        <w:t>鼓励企业牵头或产学研联合申报，联合申报单位不超过4家（含牵头单位）</w:t>
      </w:r>
      <w:r>
        <w:rPr>
          <w:rFonts w:hint="default" w:ascii="Times New Roman" w:hAnsi="Times New Roman" w:eastAsia="仿宋_GB2312" w:cs="Times New Roman"/>
          <w:color w:val="000000" w:themeColor="text1"/>
          <w:sz w:val="32"/>
          <w:szCs w:val="32"/>
          <w:highlight w:val="none"/>
          <w:shd w:val="clear" w:color="auto" w:fill="FFFFFF"/>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两家及两家以上单位联合申请的项目，应提交项目合作协议。合作协议应明确各方的</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职责</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、研究内容、成果提交的时限、经费分配方式、知识产权归属、法律责任等主要内容，并经各方法人单位盖章</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p>
    <w:p>
      <w:pPr>
        <w:keepNext w:val="0"/>
        <w:keepLines w:val="0"/>
        <w:pageBreakBefore w:val="0"/>
        <w:pBdr>
          <w:top w:val="none" w:color="000000" w:sz="0" w:space="0"/>
          <w:left w:val="none" w:color="000000" w:sz="0" w:space="0"/>
          <w:bottom w:val="none" w:color="000000" w:sz="0" w:space="0"/>
          <w:right w:val="none" w:color="000000" w:sz="0" w:space="0"/>
        </w:pBdr>
        <w:shd w:val="clear" w:color="auto" w:fill="auto"/>
        <w:kinsoku/>
        <w:overflowPunct/>
        <w:topLinePunct w:val="0"/>
        <w:bidi w:val="0"/>
        <w:spacing w:before="0" w:line="560" w:lineRule="exact"/>
        <w:ind w:firstLine="640" w:firstLineChars="200"/>
        <w:outlineLvl w:val="9"/>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 w:eastAsia="zh-CN"/>
          <w14:textFill>
            <w14:solidFill>
              <w14:schemeClr w14:val="tx1"/>
            </w14:solidFill>
          </w14:textFill>
        </w:rPr>
        <w:t>4</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.项</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目</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申报</w:t>
      </w:r>
      <w:r>
        <w:rPr>
          <w:rFonts w:hint="eastAsia"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单位</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（含合作单位）</w:t>
      </w:r>
      <w:r>
        <w:rPr>
          <w:rFonts w:hint="eastAsia"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原则上</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按不低于</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市</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财政资助金额的1∶1配套。</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项目牵头单位统筹各单位资金配套比例，在保障项目顺</w:t>
      </w:r>
      <w:r>
        <w:rPr>
          <w:rFonts w:hint="eastAsia" w:ascii="仿宋_GB2312" w:hAnsi="仿宋_GB2312" w:eastAsia="仿宋_GB2312" w:cs="仿宋_GB2312"/>
          <w:color w:val="000000" w:themeColor="text1"/>
          <w:sz w:val="32"/>
          <w:szCs w:val="32"/>
          <w:lang w:eastAsia="zh-CN"/>
          <w14:textFill>
            <w14:solidFill>
              <w14:schemeClr w14:val="tx1"/>
            </w14:solidFill>
          </w14:textFill>
        </w:rPr>
        <w:t>利开展的情况下，由项目承担单位统筹安排项目配套资金用于项目支出。</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企业牵头或参与申报项目，现场核查时，需提供配套资金来源的佐证材料，否则不予立项。原则上企业的净资产总额或净利润等，需高于企业所有申报项目承诺配套资金的总和。</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bidi="ar"/>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highlight w:val="none"/>
          <w:lang w:bidi="ar"/>
          <w14:textFill>
            <w14:solidFill>
              <w14:schemeClr w14:val="tx1"/>
            </w14:solidFill>
          </w14:textFill>
        </w:rPr>
        <w:t>对于项目承担单位的配套资金，不得使用货币资金之外的资产作为配套资金来源。非公益一类事业单位用于项目组成员的人力成本可计为配套资金。项目执行期内（含追溯期）项目承担单位横向科研项目经费，可作为研发专项的配套资金。鼓励项目承担单位先行投入项目研发，从立项之日起追溯期最长不超过6个月。</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bidi="ar"/>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bidi="ar"/>
          <w14:textFill>
            <w14:solidFill>
              <w14:schemeClr w14:val="tx1"/>
            </w14:solidFill>
          </w14:textFill>
        </w:rPr>
        <w:t>7.</w:t>
      </w:r>
      <w:r>
        <w:rPr>
          <w:rFonts w:hint="default" w:ascii="Times New Roman" w:hAnsi="Times New Roman" w:eastAsia="仿宋_GB2312" w:cs="Times New Roman"/>
          <w:color w:val="000000" w:themeColor="text1"/>
          <w:sz w:val="32"/>
          <w:szCs w:val="32"/>
          <w:highlight w:val="none"/>
          <w:lang w:bidi="ar"/>
          <w14:textFill>
            <w14:solidFill>
              <w14:schemeClr w14:val="tx1"/>
            </w14:solidFill>
          </w14:textFill>
        </w:rPr>
        <w:t>项目承担单位应当全面落实科研财务助理制度，确保每个项目配有相对固定的科研财务助理，为科研人员在预算编制、经费报销等方面提供专业化服务。科研财务助理所需人力成本费用（含社会保险补助、住房公积金），可在项目直接经费中的</w:t>
      </w:r>
      <w:r>
        <w:rPr>
          <w:rFonts w:hint="eastAsia" w:ascii="Times New Roman" w:hAnsi="Times New Roman" w:eastAsia="仿宋_GB2312" w:cs="Times New Roman"/>
          <w:color w:val="000000" w:themeColor="text1"/>
          <w:sz w:val="32"/>
          <w:szCs w:val="32"/>
          <w:highlight w:val="none"/>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bidi="ar"/>
          <w14:textFill>
            <w14:solidFill>
              <w14:schemeClr w14:val="tx1"/>
            </w14:solidFill>
          </w14:textFill>
        </w:rPr>
        <w:t>劳务费</w:t>
      </w:r>
      <w:r>
        <w:rPr>
          <w:rFonts w:hint="eastAsia" w:ascii="Times New Roman" w:hAnsi="Times New Roman" w:eastAsia="仿宋_GB2312" w:cs="Times New Roman"/>
          <w:color w:val="000000" w:themeColor="text1"/>
          <w:sz w:val="32"/>
          <w:szCs w:val="32"/>
          <w:highlight w:val="none"/>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bidi="ar"/>
          <w14:textFill>
            <w14:solidFill>
              <w14:schemeClr w14:val="tx1"/>
            </w14:solidFill>
          </w14:textFill>
        </w:rPr>
        <w:t>中列支。</w:t>
      </w:r>
    </w:p>
    <w:p>
      <w:pPr>
        <w:pStyle w:val="2"/>
        <w:ind w:left="0" w:leftChars="0" w:firstLine="0" w:firstLineChars="0"/>
        <w:rPr>
          <w:rFonts w:hint="default" w:ascii="Times New Roman" w:hAnsi="Times New Roman" w:eastAsia="仿宋_GB2312" w:cs="Times New Roman"/>
          <w:b w:val="0"/>
          <w:bCs w:val="0"/>
          <w:color w:val="000000" w:themeColor="text1"/>
          <w:kern w:val="2"/>
          <w:sz w:val="32"/>
          <w:szCs w:val="32"/>
          <w:highlight w:val="none"/>
          <w:lang w:val="en" w:eastAsia="zh-CN" w:bidi="ar"/>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 w:bidi="ar"/>
          <w14:textFill>
            <w14:solidFill>
              <w14:schemeClr w14:val="tx1"/>
            </w14:solidFill>
          </w14:textFill>
        </w:rPr>
        <w:t xml:space="preserve">    8.</w:t>
      </w:r>
      <w:r>
        <w:rPr>
          <w:rFonts w:hint="default" w:ascii="Times New Roman" w:hAnsi="Times New Roman" w:eastAsia="仿宋_GB2312" w:cs="Times New Roman"/>
          <w:b w:val="0"/>
          <w:bCs w:val="0"/>
          <w:color w:val="000000" w:themeColor="text1"/>
          <w:kern w:val="2"/>
          <w:sz w:val="32"/>
          <w:szCs w:val="32"/>
          <w:highlight w:val="none"/>
          <w:lang w:val="en" w:eastAsia="zh-CN" w:bidi="ar"/>
          <w14:textFill>
            <w14:solidFill>
              <w14:schemeClr w14:val="tx1"/>
            </w14:solidFill>
          </w14:textFill>
        </w:rPr>
        <w:t>为探索改进科研项目经费分配管理措施，提高财政资金的</w:t>
      </w:r>
      <w:bookmarkStart w:id="3" w:name="_GoBack"/>
      <w:bookmarkEnd w:id="3"/>
      <w:r>
        <w:rPr>
          <w:rFonts w:hint="default" w:ascii="Times New Roman" w:hAnsi="Times New Roman" w:eastAsia="仿宋_GB2312" w:cs="Times New Roman"/>
          <w:b w:val="0"/>
          <w:bCs w:val="0"/>
          <w:color w:val="000000" w:themeColor="text1"/>
          <w:kern w:val="2"/>
          <w:sz w:val="32"/>
          <w:szCs w:val="32"/>
          <w:highlight w:val="none"/>
          <w:lang w:val="en" w:eastAsia="zh-CN" w:bidi="ar"/>
          <w14:textFill>
            <w14:solidFill>
              <w14:schemeClr w14:val="tx1"/>
            </w14:solidFill>
          </w14:textFill>
        </w:rPr>
        <w:t>使用效益，本批次项目总预算中用于人力资源成本费支出占比原则上不得高于20%，各项目承担单位应据实编报项目预算并做好实际执行。</w:t>
      </w:r>
    </w:p>
    <w:p>
      <w:pPr>
        <w:keepNext w:val="0"/>
        <w:keepLines w:val="0"/>
        <w:pageBreakBefore w:val="0"/>
        <w:kinsoku/>
        <w:wordWrap/>
        <w:overflowPunct/>
        <w:topLinePunct w:val="0"/>
        <w:autoSpaceDE/>
        <w:bidi w:val="0"/>
        <w:adjustRightInd/>
        <w:snapToGrid/>
        <w:spacing w:line="560" w:lineRule="exact"/>
        <w:ind w:firstLine="640" w:firstLineChars="200"/>
        <w:jc w:val="both"/>
        <w:textAlignment w:val="auto"/>
        <w:rPr>
          <w:rFonts w:hint="default" w:eastAsia="仿宋_GB2312"/>
          <w:color w:val="000000" w:themeColor="text1"/>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highlight w:val="none"/>
          <w:lang w:val="en" w:eastAsia="zh-CN" w:bidi="ar"/>
          <w14:textFill>
            <w14:solidFill>
              <w14:schemeClr w14:val="tx1"/>
            </w14:solidFill>
          </w14:textFill>
        </w:rPr>
        <w:t>9</w:t>
      </w:r>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w:t>
      </w:r>
      <w:r>
        <w:rPr>
          <w:rFonts w:hint="default"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预算经费应纳入单位财务统一管理，对市财政资金和项目承担单位其他来源资金分别单独核算，确保专款专用。</w:t>
      </w:r>
    </w:p>
    <w:p>
      <w:pPr>
        <w:keepNext w:val="0"/>
        <w:keepLines w:val="0"/>
        <w:pageBreakBefore w:val="0"/>
        <w:kinsoku/>
        <w:wordWrap/>
        <w:overflowPunct/>
        <w:topLinePunct w:val="0"/>
        <w:autoSpaceDE/>
        <w:bidi w:val="0"/>
        <w:adjustRightInd/>
        <w:snapToGrid/>
        <w:spacing w:line="560" w:lineRule="exact"/>
        <w:ind w:firstLine="642" w:firstLineChars="200"/>
        <w:jc w:val="both"/>
        <w:textAlignment w:val="auto"/>
        <w:rPr>
          <w:rFonts w:hint="default"/>
          <w:color w:val="000000" w:themeColor="text1"/>
          <w:lang w:val="en-US"/>
          <w14:textFill>
            <w14:solidFill>
              <w14:schemeClr w14:val="tx1"/>
            </w14:solidFill>
          </w14:textFill>
        </w:rPr>
      </w:pPr>
      <w:r>
        <w:rPr>
          <w:rFonts w:hint="eastAsia" w:ascii="楷体_GB2312" w:hAnsi="楷体_GB2312" w:eastAsia="楷体_GB2312" w:cs="楷体_GB2312"/>
          <w:b/>
          <w:bCs/>
          <w:color w:val="000000" w:themeColor="text1"/>
          <w:kern w:val="2"/>
          <w:sz w:val="32"/>
          <w:szCs w:val="32"/>
          <w:highlight w:val="none"/>
          <w:lang w:val="en-US" w:eastAsia="zh-CN" w:bidi="ar-SA"/>
          <w14:textFill>
            <w14:solidFill>
              <w14:schemeClr w14:val="tx1"/>
            </w14:solidFill>
          </w14:textFill>
        </w:rPr>
        <w:t>（二）项目负责人和项目组构成的基本条件与要求</w:t>
      </w:r>
    </w:p>
    <w:p>
      <w:pPr>
        <w:keepNext w:val="0"/>
        <w:keepLines w:val="0"/>
        <w:pageBreakBefore w:val="0"/>
        <w:numPr>
          <w:ilvl w:val="0"/>
          <w:numId w:val="0"/>
        </w:numPr>
        <w:kinsoku/>
        <w:wordWrap/>
        <w:overflowPunct/>
        <w:topLinePunct w:val="0"/>
        <w:autoSpaceDE/>
        <w:bidi w:val="0"/>
        <w:adjustRightInd/>
        <w:snapToGrid/>
        <w:spacing w:line="560" w:lineRule="exact"/>
        <w:ind w:firstLine="64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项目负责人为在职人员，在相关技术领域具有较高的学术水平，熟悉本领域国内外技术和市场动态及发展趋势，具有完成项目所需的组织管理和协调能力</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项目组成员、承担单位和参与单位具有良好的信誉。</w:t>
      </w:r>
    </w:p>
    <w:p>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作为项目负责人，当年申报的市级</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科研</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项目不能超过1项</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，且作为参与人最多只能参与</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2项项目</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；已承担1项（含）以上市级科技项目的项目负责人，在项目未验收前不得申报本</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批次</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项目</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；同等条件下优先支持</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40</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岁</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（含）</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以下</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的青年</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科技</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人才</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担任项目负责人</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。符合条件的港澳台地区人才、外籍人才可按规定担任科技项目负责人。</w:t>
      </w:r>
    </w:p>
    <w:p>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bidi w:val="0"/>
        <w:adjustRightInd/>
        <w:snapToGrid w:val="0"/>
        <w:spacing w:line="560" w:lineRule="exact"/>
        <w:ind w:firstLine="640" w:firstLineChars="200"/>
        <w:jc w:val="both"/>
        <w:textAlignment w:val="auto"/>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4.项目组成员中属于项目申报单位的在职人员所占比例应达到80%以上。项目组成员不属于申报单位的应在项目申报附件中提供本人签字的知情同意书。</w:t>
      </w:r>
    </w:p>
    <w:p>
      <w:pPr>
        <w:pStyle w:val="13"/>
        <w:keepNext w:val="0"/>
        <w:keepLines w:val="0"/>
        <w:pageBreakBefore w:val="0"/>
        <w:widowControl w:val="0"/>
        <w:kinsoku/>
        <w:wordWrap/>
        <w:overflowPunct/>
        <w:topLinePunct w:val="0"/>
        <w:bidi w:val="0"/>
        <w:snapToGrid w:val="0"/>
        <w:spacing w:line="560" w:lineRule="exact"/>
        <w:ind w:firstLine="640"/>
        <w:rPr>
          <w:rFonts w:hint="eastAsia" w:ascii="楷体_GB2312" w:hAnsi="楷体_GB2312" w:eastAsia="楷体_GB2312" w:cs="楷体_GB2312"/>
          <w:b/>
          <w:bCs/>
          <w:color w:val="000000" w:themeColor="text1"/>
          <w:kern w:val="2"/>
          <w:sz w:val="32"/>
          <w:szCs w:val="32"/>
          <w:highlight w:val="none"/>
          <w:lang w:val="en-US" w:eastAsia="zh-CN" w:bidi="ar-SA"/>
          <w14:textFill>
            <w14:solidFill>
              <w14:schemeClr w14:val="tx1"/>
            </w14:solidFill>
          </w14:textFill>
        </w:rPr>
      </w:pPr>
      <w:r>
        <w:rPr>
          <w:rFonts w:hint="eastAsia" w:ascii="楷体_GB2312" w:hAnsi="楷体_GB2312" w:eastAsia="楷体_GB2312" w:cs="楷体_GB2312"/>
          <w:b/>
          <w:bCs/>
          <w:color w:val="000000" w:themeColor="text1"/>
          <w:kern w:val="2"/>
          <w:sz w:val="32"/>
          <w:szCs w:val="32"/>
          <w:highlight w:val="none"/>
          <w:lang w:val="en-US" w:eastAsia="zh-CN" w:bidi="ar-SA"/>
          <w14:textFill>
            <w14:solidFill>
              <w14:schemeClr w14:val="tx1"/>
            </w14:solidFill>
          </w14:textFill>
        </w:rPr>
        <w:t>（三）科研诚信要求</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 xml:space="preserve"> 1.申报单位应具有良好的社会信用和科研诚信记录，</w:t>
      </w:r>
      <w:r>
        <w:rPr>
          <w:rFonts w:hint="eastAsia" w:ascii="仿宋_GB2312" w:hAnsi="仿宋_GB2312" w:eastAsia="仿宋_GB2312" w:cs="仿宋_GB2312"/>
          <w:color w:val="000000" w:themeColor="text1"/>
          <w:sz w:val="32"/>
          <w:szCs w:val="32"/>
          <w:highlight w:val="none"/>
          <w14:textFill>
            <w14:solidFill>
              <w14:schemeClr w14:val="tx1"/>
            </w14:solidFill>
          </w14:textFill>
        </w:rPr>
        <w:t>近</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highlight w:val="none"/>
          <w14:textFill>
            <w14:solidFill>
              <w14:schemeClr w14:val="tx1"/>
            </w14:solidFill>
          </w14:textFill>
        </w:rPr>
        <w:t>年</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未发生</w:t>
      </w:r>
      <w:r>
        <w:rPr>
          <w:rFonts w:hint="eastAsia" w:ascii="仿宋_GB2312" w:hAnsi="仿宋_GB2312" w:eastAsia="仿宋_GB2312" w:cs="仿宋_GB2312"/>
          <w:color w:val="000000" w:themeColor="text1"/>
          <w:sz w:val="32"/>
          <w:szCs w:val="32"/>
          <w:highlight w:val="none"/>
          <w14:textFill>
            <w14:solidFill>
              <w14:schemeClr w14:val="tx1"/>
            </w14:solidFill>
          </w14:textFill>
        </w:rPr>
        <w:t>重大质量、环保或安全事故</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项目负责人和项目组成员应具有良好的社会信用和科研诚信记录。</w:t>
      </w:r>
    </w:p>
    <w:p>
      <w:pPr>
        <w:pStyle w:val="13"/>
        <w:keepNext w:val="0"/>
        <w:keepLines w:val="0"/>
        <w:pageBreakBefore w:val="0"/>
        <w:widowControl w:val="0"/>
        <w:kinsoku/>
        <w:wordWrap/>
        <w:overflowPunct/>
        <w:topLinePunct w:val="0"/>
        <w:autoSpaceDE w:val="0"/>
        <w:autoSpaceDN w:val="0"/>
        <w:bidi w:val="0"/>
        <w:adjustRightInd w:val="0"/>
        <w:snapToGrid/>
        <w:spacing w:line="560" w:lineRule="exact"/>
        <w:ind w:firstLine="641"/>
        <w:textAlignment w:val="baseline"/>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2.项目负责人应如实填写相关研究工作基础和研究内容等，严格遵守学术道德和行为规范，不得同时将研究内容相同或者相近的项目以不同的项目类别由不同的申报人或者申报单位提出，不得将已获资助的项目重复提出申报。</w:t>
      </w:r>
    </w:p>
    <w:p>
      <w:pPr>
        <w:pStyle w:val="13"/>
        <w:keepNext w:val="0"/>
        <w:keepLines w:val="0"/>
        <w:pageBreakBefore w:val="0"/>
        <w:widowControl w:val="0"/>
        <w:kinsoku/>
        <w:wordWrap/>
        <w:overflowPunct/>
        <w:topLinePunct w:val="0"/>
        <w:bidi w:val="0"/>
        <w:spacing w:line="560" w:lineRule="exact"/>
        <w:ind w:firstLine="640"/>
        <w:rPr>
          <w:rFonts w:hint="eastAsia" w:ascii="楷体_GB2312" w:hAnsi="楷体_GB2312" w:eastAsia="楷体_GB2312" w:cs="楷体_GB2312"/>
          <w:b/>
          <w:bCs/>
          <w:color w:val="000000" w:themeColor="text1"/>
          <w:kern w:val="2"/>
          <w:sz w:val="32"/>
          <w:szCs w:val="32"/>
          <w:highlight w:val="none"/>
          <w:lang w:val="en-US" w:eastAsia="zh-CN" w:bidi="ar-SA"/>
          <w14:textFill>
            <w14:solidFill>
              <w14:schemeClr w14:val="tx1"/>
            </w14:solidFill>
          </w14:textFill>
        </w:rPr>
      </w:pPr>
      <w:r>
        <w:rPr>
          <w:rFonts w:hint="eastAsia" w:ascii="楷体_GB2312" w:hAnsi="楷体_GB2312" w:eastAsia="楷体_GB2312" w:cs="楷体_GB2312"/>
          <w:b/>
          <w:bCs/>
          <w:color w:val="000000" w:themeColor="text1"/>
          <w:kern w:val="2"/>
          <w:sz w:val="32"/>
          <w:szCs w:val="32"/>
          <w:highlight w:val="none"/>
          <w:lang w:val="en-US" w:eastAsia="zh-CN" w:bidi="ar-SA"/>
          <w14:textFill>
            <w14:solidFill>
              <w14:schemeClr w14:val="tx1"/>
            </w14:solidFill>
          </w14:textFill>
        </w:rPr>
        <w:t>（四）申报限制</w:t>
      </w:r>
    </w:p>
    <w:p>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有以下情况之一的不予支持</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p>
    <w:p>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1.已获得国家、省、市科研项目支持且</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项目研究内容重复率20%以上视为雷同项目</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不予立项</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p>
    <w:p>
      <w:pPr>
        <w:pStyle w:val="6"/>
        <w:keepNext w:val="0"/>
        <w:keepLines w:val="0"/>
        <w:pageBreakBefore w:val="0"/>
        <w:widowControl w:val="0"/>
        <w:kinsoku/>
        <w:wordWrap/>
        <w:overflowPunct/>
        <w:topLinePunct w:val="0"/>
        <w:autoSpaceDE/>
        <w:bidi w:val="0"/>
        <w:adjustRightInd/>
        <w:snapToGrid/>
        <w:spacing w:after="0" w:afterLines="0" w:line="560" w:lineRule="exact"/>
        <w:textAlignment w:val="auto"/>
        <w:rPr>
          <w:rFonts w:hint="default" w:ascii="Times New Roman" w:hAnsi="Times New Roman" w:eastAsia="仿宋_GB2312" w:cs="Times New Roman"/>
          <w:color w:val="000000" w:themeColor="text1"/>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2.企业单位有历史遗留项目未完成整改的；</w:t>
      </w:r>
    </w:p>
    <w:p>
      <w:pPr>
        <w:keepNext w:val="0"/>
        <w:keepLines w:val="0"/>
        <w:pageBreakBefore w:val="0"/>
        <w:widowControl w:val="0"/>
        <w:pBdr>
          <w:top w:val="none" w:color="000000" w:sz="0" w:space="0"/>
          <w:left w:val="none" w:color="000000" w:sz="0" w:space="0"/>
          <w:bottom w:val="none" w:color="000000" w:sz="0" w:space="0"/>
          <w:right w:val="none" w:color="000000" w:sz="0" w:space="0"/>
        </w:pBdr>
        <w:shd w:val="solid" w:color="FFFFFF" w:fill="auto"/>
        <w:kinsoku/>
        <w:wordWrap/>
        <w:overflowPunct/>
        <w:topLinePunct w:val="0"/>
        <w:autoSpaceDE/>
        <w:autoSpaceDN w:val="0"/>
        <w:bidi w:val="0"/>
        <w:adjustRightInd/>
        <w:snapToGrid/>
        <w:spacing w:line="560" w:lineRule="exact"/>
        <w:ind w:firstLine="645"/>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.有知识产权权属纠纷的项目；</w:t>
      </w:r>
    </w:p>
    <w:p>
      <w:pPr>
        <w:keepNext w:val="0"/>
        <w:keepLines w:val="0"/>
        <w:pageBreakBefore w:val="0"/>
        <w:pBdr>
          <w:top w:val="none" w:color="000000" w:sz="0" w:space="0"/>
          <w:left w:val="none" w:color="000000" w:sz="0" w:space="0"/>
          <w:bottom w:val="none" w:color="000000" w:sz="0" w:space="0"/>
          <w:right w:val="none" w:color="000000" w:sz="0" w:space="0"/>
        </w:pBdr>
        <w:shd w:val="solid" w:color="FFFFFF" w:fill="auto"/>
        <w:kinsoku/>
        <w:overflowPunct/>
        <w:topLinePunct w:val="0"/>
        <w:autoSpaceDE/>
        <w:autoSpaceDN w:val="0"/>
        <w:bidi w:val="0"/>
        <w:adjustRightInd/>
        <w:snapToGrid/>
        <w:spacing w:line="560" w:lineRule="exact"/>
        <w:ind w:firstLine="645"/>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.影响社会协调发展、不符合国家节能降耗方向及环境保护政策的项目。</w:t>
      </w:r>
    </w:p>
    <w:p>
      <w:pPr>
        <w:pStyle w:val="15"/>
        <w:keepNext w:val="0"/>
        <w:keepLines w:val="0"/>
        <w:pageBreakBefore w:val="0"/>
        <w:kinsoku/>
        <w:overflowPunct/>
        <w:topLinePunct w:val="0"/>
        <w:bidi w:val="0"/>
        <w:spacing w:line="560" w:lineRule="exact"/>
        <w:ind w:left="0" w:leftChars="0" w:firstLine="0" w:firstLineChars="0"/>
        <w:rPr>
          <w:rFonts w:hint="default" w:ascii="楷体_GB2312" w:hAnsi="楷体_GB2312" w:eastAsia="楷体_GB2312" w:cs="楷体_GB2312"/>
          <w:b/>
          <w:bCs/>
          <w:color w:val="000000" w:themeColor="text1"/>
          <w:kern w:val="2"/>
          <w:sz w:val="32"/>
          <w:szCs w:val="32"/>
          <w:highlight w:val="none"/>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 xml:space="preserve">     </w:t>
      </w:r>
      <w:r>
        <w:rPr>
          <w:rFonts w:hint="eastAsia" w:ascii="楷体_GB2312" w:hAnsi="楷体_GB2312" w:eastAsia="楷体_GB2312" w:cs="楷体_GB2312"/>
          <w:b/>
          <w:bCs/>
          <w:color w:val="000000" w:themeColor="text1"/>
          <w:kern w:val="2"/>
          <w:sz w:val="32"/>
          <w:szCs w:val="32"/>
          <w:highlight w:val="none"/>
          <w:lang w:val="en-US" w:eastAsia="zh-CN" w:bidi="ar-SA"/>
          <w14:textFill>
            <w14:solidFill>
              <w14:schemeClr w14:val="tx1"/>
            </w14:solidFill>
          </w14:textFill>
        </w:rPr>
        <w:t>（五）其他要求</w:t>
      </w:r>
    </w:p>
    <w:p>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bidi="ar"/>
          <w14:textFill>
            <w14:solidFill>
              <w14:schemeClr w14:val="tx1"/>
            </w14:solidFill>
          </w14:textFill>
        </w:rPr>
        <w:t>1.</w:t>
      </w:r>
      <w:r>
        <w:rPr>
          <w:rFonts w:hint="default" w:ascii="Times New Roman" w:hAnsi="Times New Roman" w:eastAsia="仿宋_GB2312" w:cs="Times New Roman"/>
          <w:color w:val="000000" w:themeColor="text1"/>
          <w:sz w:val="32"/>
          <w:szCs w:val="32"/>
          <w:highlight w:val="none"/>
          <w:lang w:val="en-US" w:eastAsia="zh-CN" w:bidi="ar"/>
          <w14:textFill>
            <w14:solidFill>
              <w14:schemeClr w14:val="tx1"/>
            </w14:solidFill>
          </w14:textFill>
        </w:rPr>
        <w:t>涉及生命与健康领域的项目须遵循生物安全及伦理相关法规。相关单位应建立资质合格的伦理审查委员会，对科研活动加强审查和监管；科研人员应自觉接受伦理审查和监管。涉及人的生物医学研究应执行《涉及人的生物医学研究伦理审查办法》等规定。以人个体或群体（包括医疗健康信息）为研究对象的临床研究，必须通过医学研究登记备案信息系统（</w:t>
      </w:r>
      <w:r>
        <w:rPr>
          <w:rFonts w:hint="default" w:ascii="Times New Roman" w:hAnsi="Times New Roman" w:eastAsia="仿宋_GB2312" w:cs="Times New Roman"/>
          <w:color w:val="000000" w:themeColor="text1"/>
          <w:sz w:val="32"/>
          <w:szCs w:val="32"/>
          <w:highlight w:val="none"/>
          <w:lang w:val="en-US" w:eastAsia="zh-CN" w:bidi="ar"/>
          <w14:textFill>
            <w14:solidFill>
              <w14:schemeClr w14:val="tx1"/>
            </w14:solidFill>
          </w14:textFill>
        </w:rPr>
        <w:fldChar w:fldCharType="begin"/>
      </w:r>
      <w:r>
        <w:rPr>
          <w:rFonts w:hint="default" w:ascii="Times New Roman" w:hAnsi="Times New Roman" w:eastAsia="仿宋_GB2312" w:cs="Times New Roman"/>
          <w:color w:val="000000" w:themeColor="text1"/>
          <w:sz w:val="32"/>
          <w:szCs w:val="32"/>
          <w:highlight w:val="none"/>
          <w:lang w:val="en-US" w:eastAsia="zh-CN" w:bidi="ar"/>
          <w14:textFill>
            <w14:solidFill>
              <w14:schemeClr w14:val="tx1"/>
            </w14:solidFill>
          </w14:textFill>
        </w:rPr>
        <w:instrText xml:space="preserve"> HYPERLINK "/home/user/文档\\x/http://www.medicalresearch.xn--org)-3e9gs74ao49a6p9a/" \t "/home/user/文档\\x/_blank" </w:instrText>
      </w:r>
      <w:r>
        <w:rPr>
          <w:rFonts w:hint="default" w:ascii="Times New Roman" w:hAnsi="Times New Roman" w:eastAsia="仿宋_GB2312" w:cs="Times New Roman"/>
          <w:color w:val="000000" w:themeColor="text1"/>
          <w:sz w:val="32"/>
          <w:szCs w:val="32"/>
          <w:highlight w:val="none"/>
          <w:lang w:val="en-US" w:eastAsia="zh-CN" w:bidi="ar"/>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highlight w:val="none"/>
          <w:lang w:bidi="ar"/>
          <w14:textFill>
            <w14:solidFill>
              <w14:schemeClr w14:val="tx1"/>
            </w14:solidFill>
          </w14:textFill>
        </w:rPr>
        <w:t>www.medicalresearch.org）完成登记</w:t>
      </w:r>
      <w:r>
        <w:rPr>
          <w:rFonts w:hint="default" w:ascii="Times New Roman" w:hAnsi="Times New Roman" w:eastAsia="仿宋_GB2312" w:cs="Times New Roman"/>
          <w:color w:val="000000" w:themeColor="text1"/>
          <w:sz w:val="32"/>
          <w:szCs w:val="32"/>
          <w:highlight w:val="none"/>
          <w:lang w:val="en-US" w:eastAsia="zh-CN" w:bidi="ar"/>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highlight w:val="none"/>
          <w:lang w:val="en-US" w:eastAsia="zh-CN" w:bidi="ar"/>
          <w14:textFill>
            <w14:solidFill>
              <w14:schemeClr w14:val="tx1"/>
            </w14:solidFill>
          </w14:textFill>
        </w:rPr>
        <w:t>，并通过医院举行的科学性及伦理审查，获得学术委员会审批意见及伦理批件。涉及人类遗传资源的研究应执行《中华人民共和国人类遗传资源管理条例》等法规。涉及生物技术的研究应遵守《生物技术研究开发安全管理办法》等规章。涉及病原微生物的研究须遵守《病原微生物实验室生物安全管理条例》等法规。涉及实验动物和动物实验的，应遵守国家实验动物管理的法律、法规、技术标准及有关规定，使用合格实验动物，在合格设施内进行动物实验，保证实验过程合法，实验结果真实、有效。涉及动物福利的项目或课题需完成动物伦理审查并获得伦理批件。开展动物实验的单位需提供《实验动物使用许可证》。</w:t>
      </w:r>
    </w:p>
    <w:p>
      <w:pPr>
        <w:pStyle w:val="6"/>
        <w:keepNext w:val="0"/>
        <w:keepLines w:val="0"/>
        <w:pageBreakBefore w:val="0"/>
        <w:kinsoku/>
        <w:overflowPunct/>
        <w:topLinePunct w:val="0"/>
        <w:autoSpaceDE/>
        <w:bidi w:val="0"/>
        <w:adjustRightInd/>
        <w:snapToGrid/>
        <w:spacing w:after="0" w:afterLines="0" w:line="560" w:lineRule="exact"/>
        <w:ind w:firstLine="640" w:firstLineChars="200"/>
        <w:textAlignment w:val="auto"/>
        <w:rPr>
          <w:rFonts w:hint="eastAsia"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t>2.</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为促进脑机接口、人—非人动物嵌合体等领域的规范研究</w:t>
      </w:r>
      <w:r>
        <w:rPr>
          <w:rFonts w:hint="eastAsia" w:eastAsia="仿宋_GB2312"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相关科研机构和科研人员</w:t>
      </w:r>
      <w:r>
        <w:rPr>
          <w:rFonts w:hint="eastAsia" w:eastAsia="仿宋_GB2312" w:cs="Times New Roman"/>
          <w:color w:val="000000" w:themeColor="text1"/>
          <w:sz w:val="32"/>
          <w:szCs w:val="32"/>
          <w:highlight w:val="none"/>
          <w:lang w:val="en-US" w:eastAsia="zh-CN"/>
          <w14:textFill>
            <w14:solidFill>
              <w14:schemeClr w14:val="tx1"/>
            </w14:solidFill>
          </w14:textFill>
        </w:rPr>
        <w:t>应遵循《脑机接口研究伦理指引》和《人—非人动物嵌合体研究伦理指引》。</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outlineLvl w:val="1"/>
        <w:rPr>
          <w:rFonts w:hint="default"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bidi="ar"/>
          <w14:textFill>
            <w14:solidFill>
              <w14:schemeClr w14:val="tx1"/>
            </w14:solidFill>
          </w14:textFill>
        </w:rPr>
        <w:t>3.</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涉及农业种业、安全生产等特种行业的，须拥有相关行业准入资格或许可。</w:t>
      </w:r>
    </w:p>
    <w:p>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default" w:ascii="Times New Roman" w:hAnsi="Times New Roman" w:eastAsia="黑体"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黑体" w:cs="Times New Roman"/>
          <w:color w:val="000000" w:themeColor="text1"/>
          <w:sz w:val="32"/>
          <w:szCs w:val="32"/>
          <w:highlight w:val="none"/>
          <w:lang w:val="en-US" w:eastAsia="zh-CN"/>
          <w14:textFill>
            <w14:solidFill>
              <w14:schemeClr w14:val="tx1"/>
            </w14:solidFill>
          </w14:textFill>
        </w:rPr>
        <w:t>三</w:t>
      </w:r>
      <w:r>
        <w:rPr>
          <w:rFonts w:hint="default" w:ascii="Times New Roman" w:hAnsi="Times New Roman" w:eastAsia="黑体" w:cs="Times New Roman"/>
          <w:color w:val="000000" w:themeColor="text1"/>
          <w:sz w:val="32"/>
          <w:szCs w:val="32"/>
          <w:highlight w:val="none"/>
          <w:lang w:eastAsia="zh-CN"/>
          <w14:textFill>
            <w14:solidFill>
              <w14:schemeClr w14:val="tx1"/>
            </w14:solidFill>
          </w14:textFill>
        </w:rPr>
        <w:t>、现场核查</w:t>
      </w:r>
    </w:p>
    <w:p>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拟立项项目进行现场核查时，企业单位（含合作单位）需提供以下材料：</w:t>
      </w:r>
    </w:p>
    <w:p>
      <w:pPr>
        <w:keepNext w:val="0"/>
        <w:keepLines w:val="0"/>
        <w:pageBreakBefore w:val="0"/>
        <w:numPr>
          <w:ilvl w:val="0"/>
          <w:numId w:val="1"/>
        </w:numPr>
        <w:kinsoku/>
        <w:wordWrap/>
        <w:overflowPunct/>
        <w:topLinePunct w:val="0"/>
        <w:autoSpaceDE/>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年度审计报告（</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需披露研发费用情况</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）、会计报表、完税证明材料等。</w:t>
      </w:r>
    </w:p>
    <w:p>
      <w:pPr>
        <w:keepNext w:val="0"/>
        <w:keepLines w:val="0"/>
        <w:pageBreakBefore w:val="0"/>
        <w:numPr>
          <w:ilvl w:val="0"/>
          <w:numId w:val="1"/>
        </w:numPr>
        <w:kinsoku/>
        <w:wordWrap/>
        <w:overflowPunct/>
        <w:topLinePunct w:val="0"/>
        <w:autoSpaceDE/>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项目组人员学历、职称证明等，如属临时聘请或合作的研发人员，需提供临时聘请或合作的材料。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themeColor="text1"/>
          <w:kern w:val="2"/>
          <w:sz w:val="32"/>
          <w:szCs w:val="32"/>
          <w:highlight w:val="none"/>
          <w:shd w:val="clear" w:color="auto" w:fill="auto"/>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 xml:space="preserve">    （三）项目实施需要试验和示范基地的，需提供自有产权或租赁、合作的科研基地的证明材料，包括产权证、租赁合同、合作协议及土地的红线图等。</w:t>
      </w:r>
    </w:p>
    <w:p>
      <w:pPr>
        <w:keepNext w:val="0"/>
        <w:keepLines w:val="0"/>
        <w:pageBreakBefore w:val="0"/>
        <w:widowControl w:val="0"/>
        <w:kinsoku/>
        <w:wordWrap/>
        <w:overflowPunct/>
        <w:topLinePunct w:val="0"/>
        <w:bidi w:val="0"/>
        <w:spacing w:line="560" w:lineRule="exact"/>
        <w:textAlignment w:val="auto"/>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 xml:space="preserve">   </w:t>
      </w:r>
      <w:r>
        <w:rPr>
          <w:rFonts w:hint="eastAsia" w:ascii="Times New Roman" w:hAnsi="Times New Roman" w:eastAsia="黑体" w:cs="Times New Roman"/>
          <w:color w:val="000000" w:themeColor="text1"/>
          <w:sz w:val="32"/>
          <w:szCs w:val="32"/>
          <w:highlight w:val="none"/>
          <w:lang w:val="en-US" w:eastAsia="zh-CN"/>
          <w14:textFill>
            <w14:solidFill>
              <w14:schemeClr w14:val="tx1"/>
            </w14:solidFill>
          </w14:textFill>
        </w:rPr>
        <w:t xml:space="preserve"> 四、</w:t>
      </w:r>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资助额度及要求</w:t>
      </w:r>
    </w:p>
    <w:p>
      <w:pPr>
        <w:pStyle w:val="9"/>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（一）</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项目资助额度分为2档，第一档为20万元（含）以</w:t>
      </w:r>
    </w:p>
    <w:p>
      <w:pPr>
        <w:pStyle w:val="9"/>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下，第二档为20万元（不含）至40万元（含）。原则上第一档</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立项比例占所有立项项目的40%左右</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，第二档</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立项比例占所有立项项目的60%左右</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w:t>
      </w:r>
    </w:p>
    <w:p>
      <w:pPr>
        <w:pStyle w:val="9"/>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（二）</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同一申报单位原则上</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牵头</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申报项目总数不超过4个</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（含），鼓励申报单位内部遴选后择优申报，提高申报项目质量。</w:t>
      </w:r>
    </w:p>
    <w:p>
      <w:pPr>
        <w:pStyle w:val="9"/>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kern w:val="2"/>
          <w:sz w:val="32"/>
          <w:szCs w:val="32"/>
          <w:highlight w:val="none"/>
          <w:lang w:eastAsia="zh-CN" w:bidi="ar-SA"/>
          <w14:textFill>
            <w14:solidFill>
              <w14:schemeClr w14:val="tx1"/>
            </w14:solidFill>
          </w14:textFill>
        </w:rPr>
        <w:t>（三）</w:t>
      </w:r>
      <w:r>
        <w:rPr>
          <w:rFonts w:hint="default" w:ascii="Times New Roman" w:hAnsi="Times New Roman" w:eastAsia="仿宋_GB2312" w:cs="Times New Roman"/>
          <w:color w:val="000000" w:themeColor="text1"/>
          <w:kern w:val="2"/>
          <w:sz w:val="32"/>
          <w:szCs w:val="32"/>
          <w:highlight w:val="none"/>
          <w:lang w:bidi="ar-SA"/>
          <w14:textFill>
            <w14:solidFill>
              <w14:schemeClr w14:val="tx1"/>
            </w14:solidFill>
          </w14:textFill>
        </w:rPr>
        <w:t>各申报单位按照科研项目资金与研究任务相匹配的原则，据实编制预算经费。项</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目立项时，</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可</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根据专项资金总额综合平衡安排支持经费</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bidi="ar"/>
          <w14:textFill>
            <w14:solidFill>
              <w14:schemeClr w14:val="tx1"/>
            </w14:solidFill>
          </w14:textFill>
        </w:rPr>
        <w:t>项目承担单位</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不得压缩任务内容和考核指标。</w:t>
      </w:r>
    </w:p>
    <w:p>
      <w:pPr>
        <w:keepNext w:val="0"/>
        <w:keepLines w:val="0"/>
        <w:pageBreakBefore w:val="0"/>
        <w:widowControl w:val="0"/>
        <w:numPr>
          <w:ilvl w:val="0"/>
          <w:numId w:val="0"/>
        </w:numPr>
        <w:kinsoku/>
        <w:wordWrap/>
        <w:overflowPunct/>
        <w:topLinePunct w:val="0"/>
        <w:bidi w:val="0"/>
        <w:spacing w:line="560" w:lineRule="exact"/>
        <w:ind w:left="642" w:leftChars="0"/>
        <w:textAlignment w:val="auto"/>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黑体" w:cs="Times New Roman"/>
          <w:color w:val="000000" w:themeColor="text1"/>
          <w:sz w:val="32"/>
          <w:szCs w:val="32"/>
          <w:highlight w:val="none"/>
          <w:lang w:val="en-US" w:eastAsia="zh-CN"/>
          <w14:textFill>
            <w14:solidFill>
              <w14:schemeClr w14:val="tx1"/>
            </w14:solidFill>
          </w14:textFill>
        </w:rPr>
        <w:t>五、</w:t>
      </w:r>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实施年限</w:t>
      </w:r>
    </w:p>
    <w:p>
      <w:pPr>
        <w:keepNext w:val="0"/>
        <w:keepLines w:val="0"/>
        <w:pageBreakBefore w:val="0"/>
        <w:widowControl w:val="0"/>
        <w:numPr>
          <w:ilvl w:val="0"/>
          <w:numId w:val="0"/>
        </w:numPr>
        <w:kinsoku/>
        <w:wordWrap/>
        <w:overflowPunct/>
        <w:topLinePunct w:val="0"/>
        <w:bidi w:val="0"/>
        <w:spacing w:line="560" w:lineRule="exact"/>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项目实施年限</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不超过</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（可选择</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2年或3年</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，从立项时间起算，项目单位要根据研究任务合理确定项目实施年限。</w:t>
      </w:r>
    </w:p>
    <w:p>
      <w:pPr>
        <w:keepNext w:val="0"/>
        <w:keepLines w:val="0"/>
        <w:pageBreakBefore w:val="0"/>
        <w:widowControl w:val="0"/>
        <w:numPr>
          <w:ilvl w:val="0"/>
          <w:numId w:val="0"/>
        </w:numPr>
        <w:kinsoku/>
        <w:wordWrap/>
        <w:overflowPunct/>
        <w:topLinePunct w:val="0"/>
        <w:bidi w:val="0"/>
        <w:spacing w:line="560" w:lineRule="exact"/>
        <w:ind w:left="642" w:leftChars="0"/>
        <w:textAlignment w:val="auto"/>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黑体" w:cs="Times New Roman"/>
          <w:color w:val="000000" w:themeColor="text1"/>
          <w:sz w:val="32"/>
          <w:szCs w:val="32"/>
          <w:highlight w:val="none"/>
          <w:lang w:val="en-US" w:eastAsia="zh-CN"/>
          <w14:textFill>
            <w14:solidFill>
              <w14:schemeClr w14:val="tx1"/>
            </w14:solidFill>
          </w14:textFill>
        </w:rPr>
        <w:t>六、</w:t>
      </w:r>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资助方式</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shd w:val="clear" w:color="auto" w:fill="FFFFFF"/>
          <w14:textFill>
            <w14:solidFill>
              <w14:schemeClr w14:val="tx1"/>
            </w14:solidFill>
          </w14:textFill>
        </w:rPr>
        <w:t>支持方式包括前资助和后补助：</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kern w:val="0"/>
          <w:sz w:val="32"/>
          <w:szCs w:val="32"/>
          <w:highlight w:val="none"/>
          <w:shd w:val="clear" w:color="auto" w:fill="FFFFFF"/>
          <w14:textFill>
            <w14:solidFill>
              <w14:schemeClr w14:val="tx1"/>
            </w14:solidFill>
          </w14:textFill>
        </w:rPr>
      </w:pPr>
      <w:r>
        <w:rPr>
          <w:rFonts w:hint="eastAsia" w:ascii="Times New Roman" w:hAnsi="Times New Roman" w:eastAsia="仿宋_GB2312" w:cs="Times New Roman"/>
          <w:color w:val="000000" w:themeColor="text1"/>
          <w:kern w:val="0"/>
          <w:sz w:val="32"/>
          <w:szCs w:val="32"/>
          <w:highlight w:val="none"/>
          <w:shd w:val="clear" w:color="auto" w:fill="FFFFFF"/>
          <w:lang w:val="en-US" w:eastAsia="zh-CN"/>
          <w14:textFill>
            <w14:solidFill>
              <w14:schemeClr w14:val="tx1"/>
            </w14:solidFill>
          </w14:textFill>
        </w:rPr>
        <w:t>1.</w:t>
      </w:r>
      <w:r>
        <w:rPr>
          <w:rFonts w:hint="default" w:ascii="Times New Roman" w:hAnsi="Times New Roman" w:eastAsia="仿宋_GB2312" w:cs="Times New Roman"/>
          <w:color w:val="000000" w:themeColor="text1"/>
          <w:kern w:val="0"/>
          <w:sz w:val="32"/>
          <w:szCs w:val="32"/>
          <w:highlight w:val="none"/>
          <w:shd w:val="clear" w:color="auto" w:fill="FFFFFF"/>
          <w14:textFill>
            <w14:solidFill>
              <w14:schemeClr w14:val="tx1"/>
            </w14:solidFill>
          </w14:textFill>
        </w:rPr>
        <w:t>对于高等院校、科研院所或其他事业单位牵头承担的项目，实行前资助方式。项目立项后，资金一次性拨付</w:t>
      </w:r>
      <w:r>
        <w:rPr>
          <w:rFonts w:hint="eastAsia" w:ascii="Times New Roman" w:hAnsi="Times New Roman" w:eastAsia="仿宋_GB2312" w:cs="Times New Roman"/>
          <w:color w:val="000000" w:themeColor="text1"/>
          <w:kern w:val="0"/>
          <w:sz w:val="32"/>
          <w:szCs w:val="32"/>
          <w:highlight w:val="none"/>
          <w:shd w:val="clear" w:color="auto" w:fill="FFFFFF"/>
          <w:lang w:eastAsia="zh-CN"/>
          <w14:textFill>
            <w14:solidFill>
              <w14:schemeClr w14:val="tx1"/>
            </w14:solidFill>
          </w14:textFill>
        </w:rPr>
        <w:t>至</w:t>
      </w:r>
      <w:r>
        <w:rPr>
          <w:rFonts w:hint="default" w:ascii="Times New Roman" w:hAnsi="Times New Roman" w:eastAsia="仿宋_GB2312" w:cs="Times New Roman"/>
          <w:color w:val="000000" w:themeColor="text1"/>
          <w:kern w:val="0"/>
          <w:sz w:val="32"/>
          <w:szCs w:val="32"/>
          <w:highlight w:val="none"/>
          <w:shd w:val="clear" w:color="auto" w:fill="FFFFFF"/>
          <w14:textFill>
            <w14:solidFill>
              <w14:schemeClr w14:val="tx1"/>
            </w14:solidFill>
          </w14:textFill>
        </w:rPr>
        <w:t>项目牵头单位。</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kern w:val="0"/>
          <w:sz w:val="32"/>
          <w:szCs w:val="32"/>
          <w:highlight w:val="none"/>
          <w:shd w:val="clear" w:color="auto" w:fill="FFFFFF"/>
          <w:lang w:val="en-US" w:eastAsia="zh-CN"/>
          <w14:textFill>
            <w14:solidFill>
              <w14:schemeClr w14:val="tx1"/>
            </w14:solidFill>
          </w14:textFill>
        </w:rPr>
        <w:t>2.</w:t>
      </w:r>
      <w:r>
        <w:rPr>
          <w:rFonts w:hint="default" w:ascii="Times New Roman" w:hAnsi="Times New Roman" w:eastAsia="仿宋_GB2312" w:cs="Times New Roman"/>
          <w:color w:val="000000" w:themeColor="text1"/>
          <w:kern w:val="0"/>
          <w:sz w:val="32"/>
          <w:szCs w:val="32"/>
          <w:highlight w:val="none"/>
          <w:shd w:val="clear" w:color="auto" w:fill="FFFFFF"/>
          <w14:textFill>
            <w14:solidFill>
              <w14:schemeClr w14:val="tx1"/>
            </w14:solidFill>
          </w14:textFill>
        </w:rPr>
        <w:t>对于企业单位牵头承担的项目，采取事前立项事后补助方式。</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项目立项后，按照不超过财政资助总经费的50%，拨付</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至</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项目牵头单位。在项目验收通过后，再根据项目完成和资金使用情况给予相应补助。</w:t>
      </w:r>
    </w:p>
    <w:p>
      <w:pPr>
        <w:keepNext w:val="0"/>
        <w:keepLines w:val="0"/>
        <w:pageBreakBefore w:val="0"/>
        <w:shd w:val="clear" w:color="auto" w:fill="FFFFFF"/>
        <w:kinsoku/>
        <w:wordWrap/>
        <w:overflowPunct/>
        <w:topLinePunct w:val="0"/>
        <w:autoSpaceDE/>
        <w:bidi w:val="0"/>
        <w:adjustRightInd/>
        <w:snapToGrid/>
        <w:spacing w:line="560" w:lineRule="exact"/>
        <w:ind w:firstLine="640" w:firstLineChars="200"/>
        <w:jc w:val="left"/>
        <w:textAlignment w:val="auto"/>
        <w:rPr>
          <w:rFonts w:hint="default" w:eastAsia="仿宋_GB2312"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项目牵头单位按照项目研究进度，根据项目负责人意见，及时将财政资金拨付至项目</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合作</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单位。项目</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合作</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单位不得再向外转拨资金。</w:t>
      </w:r>
      <w:r>
        <w:rPr>
          <w:rFonts w:hint="eastAsia"/>
          <w:color w:val="000000" w:themeColor="text1"/>
          <w:lang w:val="en-US" w:eastAsia="zh-CN"/>
          <w14:textFill>
            <w14:solidFill>
              <w14:schemeClr w14:val="tx1"/>
            </w14:solidFill>
          </w14:textFill>
        </w:rPr>
        <w:t xml:space="preserve">   </w:t>
      </w:r>
    </w:p>
    <w:p>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黑体" w:cs="Times New Roman"/>
          <w:color w:val="000000" w:themeColor="text1"/>
          <w:sz w:val="32"/>
          <w:szCs w:val="32"/>
          <w:highlight w:val="none"/>
          <w:lang w:eastAsia="zh-CN"/>
          <w14:textFill>
            <w14:solidFill>
              <w14:schemeClr w14:val="tx1"/>
            </w14:solidFill>
          </w14:textFill>
        </w:rPr>
        <w:t>七</w:t>
      </w:r>
      <w:r>
        <w:rPr>
          <w:rFonts w:hint="default" w:ascii="Times New Roman" w:hAnsi="Times New Roman" w:eastAsia="黑体" w:cs="Times New Roman"/>
          <w:color w:val="000000" w:themeColor="text1"/>
          <w:sz w:val="32"/>
          <w:szCs w:val="32"/>
          <w:highlight w:val="none"/>
          <w14:textFill>
            <w14:solidFill>
              <w14:schemeClr w14:val="tx1"/>
            </w14:solidFill>
          </w14:textFill>
        </w:rPr>
        <w:t>、</w:t>
      </w:r>
      <w:r>
        <w:rPr>
          <w:rFonts w:hint="eastAsia" w:ascii="Times New Roman" w:hAnsi="Times New Roman" w:eastAsia="黑体" w:cs="Times New Roman"/>
          <w:color w:val="000000" w:themeColor="text1"/>
          <w:sz w:val="32"/>
          <w:szCs w:val="32"/>
          <w:highlight w:val="none"/>
          <w:lang w:val="en-US" w:eastAsia="zh-CN"/>
          <w14:textFill>
            <w14:solidFill>
              <w14:schemeClr w14:val="tx1"/>
            </w14:solidFill>
          </w14:textFill>
        </w:rPr>
        <w:t>支持领域</w:t>
      </w:r>
    </w:p>
    <w:p>
      <w:pPr>
        <w:keepNext w:val="0"/>
        <w:keepLines w:val="0"/>
        <w:pageBreakBefore w:val="0"/>
        <w:kinsoku/>
        <w:wordWrap/>
        <w:overflowPunct/>
        <w:topLinePunct w:val="0"/>
        <w:autoSpaceDE/>
        <w:bidi w:val="0"/>
        <w:adjustRightInd/>
        <w:snapToGrid/>
        <w:spacing w:line="560" w:lineRule="exact"/>
        <w:ind w:firstLine="64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bookmarkStart w:id="0" w:name="_Toc1892066601"/>
      <w:bookmarkStart w:id="1" w:name="_Toc10504"/>
      <w:bookmarkStart w:id="2" w:name="_Toc29696"/>
      <w:r>
        <w:rPr>
          <w:rFonts w:hint="eastAsia" w:ascii="Times New Roman" w:hAnsi="Times New Roman" w:eastAsia="楷体_GB2312" w:cs="Times New Roman"/>
          <w:color w:val="000000" w:themeColor="text1"/>
          <w:sz w:val="32"/>
          <w:szCs w:val="32"/>
          <w:highlight w:val="none"/>
          <w:lang w:eastAsia="zh-CN"/>
          <w14:textFill>
            <w14:solidFill>
              <w14:schemeClr w14:val="tx1"/>
            </w14:solidFill>
          </w14:textFill>
        </w:rPr>
        <w:t>（一）</w:t>
      </w:r>
      <w:r>
        <w:rPr>
          <w:rFonts w:hint="default" w:ascii="Times New Roman" w:hAnsi="Times New Roman" w:eastAsia="楷体_GB2312" w:cs="Times New Roman"/>
          <w:color w:val="000000" w:themeColor="text1"/>
          <w:sz w:val="32"/>
          <w:szCs w:val="32"/>
          <w:highlight w:val="none"/>
          <w14:textFill>
            <w14:solidFill>
              <w14:schemeClr w14:val="tx1"/>
            </w14:solidFill>
          </w14:textFill>
        </w:rPr>
        <w:t>新一代信息技术领域</w:t>
      </w:r>
      <w:r>
        <w:rPr>
          <w:rFonts w:hint="eastAsia" w:ascii="Times New Roman" w:hAnsi="Times New Roman" w:eastAsia="楷体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互联网与物联网技术、人工智能</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与人机交互</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、大数据技术、区块链技术、</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信息安全</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、认知计算技术、智慧城市技术</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虚拟现实技术、</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微电子</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技术、脑机接口</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p>
    <w:p>
      <w:pPr>
        <w:keepNext w:val="0"/>
        <w:keepLines w:val="0"/>
        <w:pageBreakBefore w:val="0"/>
        <w:kinsoku/>
        <w:wordWrap/>
        <w:overflowPunct/>
        <w:topLinePunct w:val="0"/>
        <w:autoSpaceDE/>
        <w:bidi w:val="0"/>
        <w:adjustRightInd/>
        <w:snapToGrid/>
        <w:spacing w:line="560" w:lineRule="exact"/>
        <w:ind w:firstLine="64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楷体_GB2312" w:cs="Times New Roman"/>
          <w:color w:val="000000" w:themeColor="text1"/>
          <w:sz w:val="32"/>
          <w:szCs w:val="32"/>
          <w:highlight w:val="none"/>
          <w14:textFill>
            <w14:solidFill>
              <w14:schemeClr w14:val="tx1"/>
            </w14:solidFill>
          </w14:textFill>
        </w:rPr>
        <w:t>（</w:t>
      </w:r>
      <w:r>
        <w:rPr>
          <w:rFonts w:hint="eastAsia" w:ascii="Times New Roman" w:hAnsi="Times New Roman" w:eastAsia="楷体_GB2312" w:cs="Times New Roman"/>
          <w:color w:val="000000" w:themeColor="text1"/>
          <w:sz w:val="32"/>
          <w:szCs w:val="32"/>
          <w:highlight w:val="none"/>
          <w:lang w:eastAsia="zh-CN"/>
          <w14:textFill>
            <w14:solidFill>
              <w14:schemeClr w14:val="tx1"/>
            </w14:solidFill>
          </w14:textFill>
        </w:rPr>
        <w:t>二</w:t>
      </w:r>
      <w:r>
        <w:rPr>
          <w:rFonts w:hint="default" w:ascii="Times New Roman" w:hAnsi="Times New Roman" w:eastAsia="楷体_GB2312" w:cs="Times New Roman"/>
          <w:color w:val="000000" w:themeColor="text1"/>
          <w:sz w:val="32"/>
          <w:szCs w:val="32"/>
          <w:highlight w:val="none"/>
          <w14:textFill>
            <w14:solidFill>
              <w14:schemeClr w14:val="tx1"/>
            </w14:solidFill>
          </w14:textFill>
        </w:rPr>
        <w:t>）石油化工新材料、清洁能源领域</w:t>
      </w:r>
      <w:r>
        <w:rPr>
          <w:rFonts w:hint="eastAsia" w:ascii="Times New Roman" w:hAnsi="Times New Roman" w:eastAsia="楷体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石油化工技术、精细化工技术、新材料技术、南海海洋油气资源、天然气水合物开发技术研究；</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油页岩综合开发利用研究技术。</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清洁能源利用技术、新能源汽车技术。</w:t>
      </w:r>
    </w:p>
    <w:p>
      <w:pPr>
        <w:keepNext w:val="0"/>
        <w:keepLines w:val="0"/>
        <w:pageBreakBefore w:val="0"/>
        <w:kinsoku/>
        <w:wordWrap/>
        <w:overflowPunct/>
        <w:topLinePunct w:val="0"/>
        <w:autoSpaceDE/>
        <w:bidi w:val="0"/>
        <w:adjustRightInd/>
        <w:snapToGrid/>
        <w:spacing w:line="560" w:lineRule="exact"/>
        <w:ind w:firstLine="64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楷体_GB2312" w:cs="Times New Roman"/>
          <w:color w:val="000000" w:themeColor="text1"/>
          <w:sz w:val="32"/>
          <w:szCs w:val="32"/>
          <w:highlight w:val="none"/>
          <w14:textFill>
            <w14:solidFill>
              <w14:schemeClr w14:val="tx1"/>
            </w14:solidFill>
          </w14:textFill>
        </w:rPr>
        <w:t>（</w:t>
      </w:r>
      <w:r>
        <w:rPr>
          <w:rFonts w:hint="eastAsia" w:ascii="Times New Roman" w:hAnsi="Times New Roman" w:eastAsia="楷体_GB2312" w:cs="Times New Roman"/>
          <w:color w:val="000000" w:themeColor="text1"/>
          <w:sz w:val="32"/>
          <w:szCs w:val="32"/>
          <w:highlight w:val="none"/>
          <w:lang w:eastAsia="zh-CN"/>
          <w14:textFill>
            <w14:solidFill>
              <w14:schemeClr w14:val="tx1"/>
            </w14:solidFill>
          </w14:textFill>
        </w:rPr>
        <w:t>三</w:t>
      </w:r>
      <w:r>
        <w:rPr>
          <w:rFonts w:hint="default" w:ascii="Times New Roman" w:hAnsi="Times New Roman" w:eastAsia="楷体_GB2312" w:cs="Times New Roman"/>
          <w:color w:val="000000" w:themeColor="text1"/>
          <w:sz w:val="32"/>
          <w:szCs w:val="32"/>
          <w:highlight w:val="none"/>
          <w14:textFill>
            <w14:solidFill>
              <w14:schemeClr w14:val="tx1"/>
            </w14:solidFill>
          </w14:textFill>
        </w:rPr>
        <w:t>）深海、航天科技领域</w:t>
      </w:r>
      <w:r>
        <w:rPr>
          <w:rFonts w:hint="eastAsia" w:ascii="Times New Roman" w:hAnsi="Times New Roman" w:eastAsia="楷体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深海关键技术与装备、深海油气资源勘探开发技术、海洋生物产业技术；</w:t>
      </w:r>
      <w:r>
        <w:rPr>
          <w:rFonts w:hint="eastAsia" w:eastAsia="仿宋_GB2312" w:cs="Times New Roman"/>
          <w:color w:val="000000" w:themeColor="text1"/>
          <w:sz w:val="32"/>
          <w:szCs w:val="32"/>
          <w:highlight w:val="none"/>
          <w:lang w:eastAsia="zh-CN"/>
          <w14:textFill>
            <w14:solidFill>
              <w14:schemeClr w14:val="tx1"/>
            </w14:solidFill>
          </w14:textFill>
        </w:rPr>
        <w:t>海洋传感技术、海洋资源开发与利用。</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航天发射技术、卫星应用技术、临近空间浮空器技术、商业航天器研制、空间生物实验、智慧空管。</w:t>
      </w:r>
    </w:p>
    <w:p>
      <w:pPr>
        <w:keepNext w:val="0"/>
        <w:keepLines w:val="0"/>
        <w:pageBreakBefore w:val="0"/>
        <w:kinsoku/>
        <w:wordWrap/>
        <w:overflowPunct/>
        <w:topLinePunct w:val="0"/>
        <w:autoSpaceDE/>
        <w:bidi w:val="0"/>
        <w:adjustRightInd/>
        <w:snapToGrid/>
        <w:spacing w:line="560" w:lineRule="exact"/>
        <w:ind w:firstLine="640"/>
        <w:textAlignment w:val="auto"/>
        <w:rPr>
          <w:rFonts w:hint="eastAsia"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highlight w:val="none"/>
          <w14:textFill>
            <w14:solidFill>
              <w14:schemeClr w14:val="tx1"/>
            </w14:solidFill>
          </w14:textFill>
        </w:rPr>
        <w:t>（</w:t>
      </w:r>
      <w:r>
        <w:rPr>
          <w:rFonts w:hint="eastAsia" w:ascii="Times New Roman" w:hAnsi="Times New Roman" w:eastAsia="楷体_GB2312" w:cs="Times New Roman"/>
          <w:color w:val="000000" w:themeColor="text1"/>
          <w:sz w:val="32"/>
          <w:szCs w:val="32"/>
          <w:highlight w:val="none"/>
          <w:lang w:eastAsia="zh-CN"/>
          <w14:textFill>
            <w14:solidFill>
              <w14:schemeClr w14:val="tx1"/>
            </w14:solidFill>
          </w14:textFill>
        </w:rPr>
        <w:t>四</w:t>
      </w:r>
      <w:r>
        <w:rPr>
          <w:rFonts w:hint="default" w:ascii="Times New Roman" w:hAnsi="Times New Roman" w:eastAsia="楷体_GB2312" w:cs="Times New Roman"/>
          <w:color w:val="000000" w:themeColor="text1"/>
          <w:sz w:val="32"/>
          <w:szCs w:val="32"/>
          <w:highlight w:val="none"/>
          <w14:textFill>
            <w14:solidFill>
              <w14:schemeClr w14:val="tx1"/>
            </w14:solidFill>
          </w14:textFill>
        </w:rPr>
        <w:t>）现代农业领域</w:t>
      </w:r>
      <w:r>
        <w:rPr>
          <w:rFonts w:hint="eastAsia" w:ascii="Times New Roman" w:hAnsi="Times New Roman" w:eastAsia="楷体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种质资源鉴定与生物育种技术、种业安全性评价技术、种业加工存储物流技术</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，种子、种苗生产技术示范与推广</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；“三棵树”（槟榔、椰子、橡胶）和沉香、降香全产业链技术、热带水果、花卉</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竹藤、</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油茶</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和香辛饮料作物提质增效技术</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竹、藤制备技术和产业化装备研发</w:t>
      </w:r>
      <w:r>
        <w:rPr>
          <w:rFonts w:hint="default" w:eastAsia="仿宋_GB2312" w:cs="Times New Roman"/>
          <w:color w:val="000000" w:themeColor="text1"/>
          <w:kern w:val="2"/>
          <w:sz w:val="32"/>
          <w:szCs w:val="32"/>
          <w:highlight w:val="none"/>
          <w:lang w:val="en" w:eastAsia="zh-CN" w:bidi="ar-SA"/>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畜禽安全高效养殖与</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生态高效</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渔业</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与水产养殖</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技术、绿色农业技术、智慧农业技术；农业领域风险防控技术。</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热带农业废弃物资源化（高值化）。</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default" w:eastAsia="仿宋_GB2312"/>
          <w:color w:val="000000" w:themeColor="text1"/>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highlight w:val="none"/>
          <w14:textFill>
            <w14:solidFill>
              <w14:schemeClr w14:val="tx1"/>
            </w14:solidFill>
          </w14:textFill>
        </w:rPr>
        <w:t>（</w:t>
      </w:r>
      <w:r>
        <w:rPr>
          <w:rFonts w:hint="eastAsia" w:ascii="Times New Roman" w:hAnsi="Times New Roman" w:eastAsia="楷体_GB2312" w:cs="Times New Roman"/>
          <w:color w:val="000000" w:themeColor="text1"/>
          <w:sz w:val="32"/>
          <w:szCs w:val="32"/>
          <w:highlight w:val="none"/>
          <w:lang w:eastAsia="zh-CN"/>
          <w14:textFill>
            <w14:solidFill>
              <w14:schemeClr w14:val="tx1"/>
            </w14:solidFill>
          </w14:textFill>
        </w:rPr>
        <w:t>五</w:t>
      </w:r>
      <w:r>
        <w:rPr>
          <w:rFonts w:hint="default" w:ascii="Times New Roman" w:hAnsi="Times New Roman" w:eastAsia="楷体_GB2312" w:cs="Times New Roman"/>
          <w:color w:val="000000" w:themeColor="text1"/>
          <w:sz w:val="32"/>
          <w:szCs w:val="32"/>
          <w:highlight w:val="none"/>
          <w14:textFill>
            <w14:solidFill>
              <w14:schemeClr w14:val="tx1"/>
            </w14:solidFill>
          </w14:textFill>
        </w:rPr>
        <w:t>）环保科技领域</w:t>
      </w:r>
      <w:r>
        <w:rPr>
          <w:rFonts w:hint="eastAsia" w:ascii="Times New Roman" w:hAnsi="Times New Roman" w:eastAsia="楷体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应对气候变化技术、生态系统生产总值核算技术、污染治理技术、海洋环境保护技术、</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海洋碳汇和固碳相关研究、</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生态系统保护、生物多样性保护及恢复修复技术、生态系统监测技术、</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森林碳汇</w:t>
      </w:r>
      <w:r>
        <w:rPr>
          <w:rFonts w:hint="eastAsia"/>
          <w:color w:val="000000" w:themeColor="text1"/>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天地一体化环境监测与预警技术</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、珊瑚礁生态系统修复及示范</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海洋污染监测治理与风险评估。</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装配式建筑、绿色建筑和绿色建材技术、资源循环利用技术、环保装备技术、智慧环保技术</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、全生物可降解地膜生产技术</w:t>
      </w:r>
      <w:r>
        <w:rPr>
          <w:rFonts w:hint="default" w:ascii="Times New Roman" w:hAnsi="Times New Roman" w:eastAsia="仿宋_GB2312" w:cs="Times New Roman"/>
          <w:color w:val="000000" w:themeColor="text1"/>
          <w:sz w:val="32"/>
          <w:szCs w:val="32"/>
          <w:highlight w:val="none"/>
          <w:lang w:val="e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固废处置技术和装备研发</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eastAsia="仿宋_GB2312" w:cs="Times New Roman"/>
          <w:color w:val="000000" w:themeColor="text1"/>
          <w:sz w:val="32"/>
          <w:szCs w:val="32"/>
          <w:highlight w:val="none"/>
          <w:lang w:val="en-US" w:eastAsia="zh-CN"/>
          <w14:textFill>
            <w14:solidFill>
              <w14:schemeClr w14:val="tx1"/>
            </w14:solidFill>
          </w14:textFill>
        </w:rPr>
        <w:t>绿氢关键环节开展技术攻关；建筑遗产数字化保护。</w:t>
      </w:r>
    </w:p>
    <w:p>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eastAsia"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highlight w:val="none"/>
          <w14:textFill>
            <w14:solidFill>
              <w14:schemeClr w14:val="tx1"/>
            </w14:solidFill>
          </w14:textFill>
        </w:rPr>
        <w:t>（</w:t>
      </w:r>
      <w:r>
        <w:rPr>
          <w:rFonts w:hint="eastAsia" w:ascii="Times New Roman" w:hAnsi="Times New Roman" w:eastAsia="楷体_GB2312" w:cs="Times New Roman"/>
          <w:color w:val="000000" w:themeColor="text1"/>
          <w:sz w:val="32"/>
          <w:szCs w:val="32"/>
          <w:highlight w:val="none"/>
          <w:lang w:eastAsia="zh-CN"/>
          <w14:textFill>
            <w14:solidFill>
              <w14:schemeClr w14:val="tx1"/>
            </w14:solidFill>
          </w14:textFill>
        </w:rPr>
        <w:t>六</w:t>
      </w:r>
      <w:r>
        <w:rPr>
          <w:rFonts w:hint="default" w:ascii="Times New Roman" w:hAnsi="Times New Roman" w:eastAsia="楷体_GB2312" w:cs="Times New Roman"/>
          <w:color w:val="000000" w:themeColor="text1"/>
          <w:sz w:val="32"/>
          <w:szCs w:val="32"/>
          <w:highlight w:val="none"/>
          <w14:textFill>
            <w14:solidFill>
              <w14:schemeClr w14:val="tx1"/>
            </w14:solidFill>
          </w14:textFill>
        </w:rPr>
        <w:t>）其他领域</w:t>
      </w:r>
      <w:r>
        <w:rPr>
          <w:rFonts w:hint="eastAsia" w:ascii="Times New Roman" w:hAnsi="Times New Roman" w:eastAsia="楷体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数学、</w:t>
      </w:r>
      <w:r>
        <w:rPr>
          <w:rFonts w:hint="default" w:ascii="Times New Roman" w:hAnsi="Times New Roman" w:eastAsia="仿宋_GB2312" w:cs="Times New Roman"/>
          <w:color w:val="000000" w:themeColor="text1"/>
          <w:sz w:val="32"/>
          <w:szCs w:val="32"/>
          <w:highlight w:val="none"/>
          <w:lang w:val="zh-CN"/>
          <w14:textFill>
            <w14:solidFill>
              <w14:schemeClr w14:val="tx1"/>
            </w14:solidFill>
          </w14:textFill>
        </w:rPr>
        <w:t>化学、</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运筹学、计算力学、文化学、生态学、园艺学等基础学研究；高端食品加工、精深加工技术</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；食品轻工业全产业链关键核心</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技术</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如糟粕醋产业</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；食品安全技术研究，食品安全监管技术应用与示范研究；公共卫生风险防控技术、重大自然灾害防控技术、外来红树</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植物</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研究及防控、</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林业有害生物灾害防控技术及防治推广、</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社会治理与风险防控技术、绿色生态城市建设</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开展改善农村人居环境相关技术研究及示范应用。</w:t>
      </w:r>
      <w:r>
        <w:rPr>
          <w:rFonts w:hint="eastAsia" w:eastAsia="仿宋_GB2312" w:cs="Times New Roman"/>
          <w:color w:val="000000" w:themeColor="text1"/>
          <w:sz w:val="32"/>
          <w:szCs w:val="32"/>
          <w:highlight w:val="none"/>
          <w:lang w:val="en-US" w:eastAsia="zh-CN"/>
          <w14:textFill>
            <w14:solidFill>
              <w14:schemeClr w14:val="tx1"/>
            </w14:solidFill>
          </w14:textFill>
        </w:rPr>
        <w:t>南海珍稀生物保育与生物资源利用与开发。</w:t>
      </w:r>
    </w:p>
    <w:p>
      <w:pPr>
        <w:keepNext w:val="0"/>
        <w:keepLines w:val="0"/>
        <w:pageBreakBefore w:val="0"/>
        <w:widowControl/>
        <w:kinsoku/>
        <w:wordWrap/>
        <w:overflowPunct/>
        <w:topLinePunct w:val="0"/>
        <w:autoSpaceDE/>
        <w:bidi w:val="0"/>
        <w:adjustRightInd/>
        <w:snapToGrid/>
        <w:spacing w:line="560" w:lineRule="exact"/>
        <w:jc w:val="left"/>
        <w:textAlignment w:val="auto"/>
        <w:rPr>
          <w:rFonts w:hint="eastAsia" w:ascii="Times New Roman" w:hAnsi="Times New Roman" w:eastAsia="仿宋_GB2312" w:cs="Times New Roman"/>
          <w:color w:val="000000" w:themeColor="text1"/>
          <w:kern w:val="0"/>
          <w:sz w:val="32"/>
          <w:szCs w:val="32"/>
          <w:highlight w:val="none"/>
          <w:lang w:eastAsia="zh-CN" w:bidi="ar"/>
          <w14:textFill>
            <w14:solidFill>
              <w14:schemeClr w14:val="tx1"/>
            </w14:solidFill>
          </w14:textFill>
        </w:rPr>
      </w:pPr>
      <w:r>
        <w:rPr>
          <w:rFonts w:hint="eastAsia" w:ascii="Times New Roman" w:hAnsi="Times New Roman" w:eastAsia="仿宋_GB2312" w:cs="Times New Roman"/>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楷体_GB2312" w:cs="Times New Roman"/>
          <w:color w:val="000000" w:themeColor="text1"/>
          <w:sz w:val="32"/>
          <w:szCs w:val="32"/>
          <w:highlight w:val="none"/>
          <w:lang w:eastAsia="zh-CN"/>
          <w14:textFill>
            <w14:solidFill>
              <w14:schemeClr w14:val="tx1"/>
            </w14:solidFill>
          </w14:textFill>
        </w:rPr>
        <w:t>（七）</w:t>
      </w:r>
      <w:r>
        <w:rPr>
          <w:rFonts w:hint="default" w:ascii="Times New Roman" w:hAnsi="Times New Roman" w:eastAsia="楷体_GB2312" w:cs="Times New Roman"/>
          <w:color w:val="000000" w:themeColor="text1"/>
          <w:sz w:val="32"/>
          <w:szCs w:val="32"/>
          <w:highlight w:val="none"/>
          <w:lang w:eastAsia="zh-CN"/>
          <w14:textFill>
            <w14:solidFill>
              <w14:schemeClr w14:val="tx1"/>
            </w14:solidFill>
          </w14:textFill>
        </w:rPr>
        <w:t>公立医院改革暨</w:t>
      </w:r>
      <w:r>
        <w:rPr>
          <w:rFonts w:hint="default" w:ascii="Times New Roman" w:hAnsi="Times New Roman" w:eastAsia="楷体_GB2312" w:cs="Times New Roman"/>
          <w:color w:val="000000" w:themeColor="text1"/>
          <w:sz w:val="32"/>
          <w:szCs w:val="32"/>
          <w:highlight w:val="none"/>
          <w14:textFill>
            <w14:solidFill>
              <w14:schemeClr w14:val="tx1"/>
            </w14:solidFill>
          </w14:textFill>
        </w:rPr>
        <w:t>生命健康领域</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kern w:val="0"/>
          <w:sz w:val="32"/>
          <w:szCs w:val="32"/>
          <w:highlight w:val="none"/>
          <w:lang w:val="en-US" w:eastAsia="zh-CN" w:bidi="ar"/>
          <w14:textFill>
            <w14:solidFill>
              <w14:schemeClr w14:val="tx1"/>
            </w14:solidFill>
          </w14:textFill>
        </w:rPr>
        <w:t xml:space="preserve">    1.</w:t>
      </w:r>
      <w:r>
        <w:rPr>
          <w:rFonts w:hint="default" w:ascii="Times New Roman" w:hAnsi="Times New Roman" w:eastAsia="仿宋_GB2312" w:cs="Times New Roman"/>
          <w:color w:val="000000" w:themeColor="text1"/>
          <w:kern w:val="0"/>
          <w:sz w:val="32"/>
          <w:szCs w:val="32"/>
          <w:highlight w:val="none"/>
          <w:lang w:bidi="ar"/>
          <w14:textFill>
            <w14:solidFill>
              <w14:schemeClr w14:val="tx1"/>
            </w14:solidFill>
          </w14:textFill>
        </w:rPr>
        <w:t>热带地区常见病预防与诊疗技术研究，热带</w:t>
      </w:r>
      <w:r>
        <w:rPr>
          <w:rFonts w:hint="default" w:ascii="Times New Roman" w:hAnsi="Times New Roman" w:eastAsia="仿宋_GB2312" w:cs="Times New Roman"/>
          <w:color w:val="000000" w:themeColor="text1"/>
          <w:kern w:val="0"/>
          <w:sz w:val="32"/>
          <w:szCs w:val="32"/>
          <w:highlight w:val="none"/>
          <w:lang w:eastAsia="zh-CN" w:bidi="ar"/>
          <w14:textFill>
            <w14:solidFill>
              <w14:schemeClr w14:val="tx1"/>
            </w14:solidFill>
          </w14:textFill>
        </w:rPr>
        <w:t>感</w:t>
      </w:r>
      <w:r>
        <w:rPr>
          <w:rFonts w:hint="default" w:ascii="Times New Roman" w:hAnsi="Times New Roman" w:eastAsia="仿宋_GB2312" w:cs="Times New Roman"/>
          <w:color w:val="000000" w:themeColor="text1"/>
          <w:kern w:val="0"/>
          <w:sz w:val="32"/>
          <w:szCs w:val="32"/>
          <w:highlight w:val="none"/>
          <w:lang w:bidi="ar"/>
          <w14:textFill>
            <w14:solidFill>
              <w14:schemeClr w14:val="tx1"/>
            </w14:solidFill>
          </w14:textFill>
        </w:rPr>
        <w:t>染病分子流行病学研究，</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重大慢性病防控与诊疗技术研究，创伤医学；</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现代医疗器械研发、老龄化科技应对综合技术、康复技术、气候康养技术、智慧医疗技术</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、口腔医学技术</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药物设计及新药研发、现代生物治疗技术、重大生物制品研制、海南特色中医药技术</w:t>
      </w:r>
      <w:r>
        <w:rPr>
          <w:rFonts w:hint="default" w:ascii="Times New Roman" w:hAnsi="Times New Roman" w:eastAsia="仿宋_GB2312" w:cs="Times New Roman"/>
          <w:color w:val="000000" w:themeColor="text1"/>
          <w:sz w:val="32"/>
          <w:szCs w:val="32"/>
          <w14:textFill>
            <w14:solidFill>
              <w14:schemeClr w14:val="tx1"/>
            </w14:solidFill>
          </w14:textFill>
        </w:rPr>
        <w:t>、南药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和</w:t>
      </w:r>
      <w:r>
        <w:rPr>
          <w:rFonts w:hint="default" w:ascii="Times New Roman" w:hAnsi="Times New Roman" w:eastAsia="仿宋_GB2312" w:cs="Times New Roman"/>
          <w:color w:val="000000" w:themeColor="text1"/>
          <w:sz w:val="32"/>
          <w:szCs w:val="32"/>
          <w14:textFill>
            <w14:solidFill>
              <w14:schemeClr w14:val="tx1"/>
            </w14:solidFill>
          </w14:textFill>
        </w:rPr>
        <w:t>黎药产业技术</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、疾病防治技术</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芳香植物资源开发技术</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海洋生物产业技术</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jc w:val="left"/>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妇女儿童疾病防治和综合管理技术，开展有关妇女儿童身心健康等方面的科学技术研究及其成果推广应用；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jc w:val="left"/>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支持三亚市公立医院改革与高质量发展示范应用。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color w:val="000000" w:themeColor="text1"/>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神经科学</w:t>
      </w:r>
      <w:r>
        <w:rPr>
          <w:rFonts w:hint="eastAsia" w:eastAsia="仿宋_GB2312" w:cs="Times New Roman"/>
          <w:color w:val="000000" w:themeColor="text1"/>
          <w:sz w:val="32"/>
          <w:szCs w:val="32"/>
          <w:highlight w:val="none"/>
          <w:lang w:val="en-US" w:eastAsia="zh-CN"/>
          <w14:textFill>
            <w14:solidFill>
              <w14:schemeClr w14:val="tx1"/>
            </w14:solidFill>
          </w14:textFill>
        </w:rPr>
        <w:t>、神经康复学、神经外科学、心理行为及</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精神</w:t>
      </w:r>
      <w:r>
        <w:rPr>
          <w:rFonts w:hint="eastAsia" w:eastAsia="仿宋_GB2312" w:cs="Times New Roman"/>
          <w:color w:val="000000" w:themeColor="text1"/>
          <w:sz w:val="32"/>
          <w:szCs w:val="32"/>
          <w:highlight w:val="none"/>
          <w:lang w:val="en-US" w:eastAsia="zh-CN"/>
          <w14:textFill>
            <w14:solidFill>
              <w14:schemeClr w14:val="tx1"/>
            </w14:solidFill>
          </w14:textFill>
        </w:rPr>
        <w:t>医学</w:t>
      </w:r>
    </w:p>
    <w:p>
      <w:pPr>
        <w:pStyle w:val="6"/>
        <w:keepNext w:val="0"/>
        <w:keepLines w:val="0"/>
        <w:pageBreakBefore w:val="0"/>
        <w:kinsoku/>
        <w:wordWrap/>
        <w:overflowPunct/>
        <w:topLinePunct w:val="0"/>
        <w:autoSpaceDE/>
        <w:autoSpaceDN/>
        <w:bidi w:val="0"/>
        <w:adjustRightInd/>
        <w:spacing w:after="0" w:afterLines="0" w:line="560" w:lineRule="exact"/>
        <w:ind w:firstLine="640"/>
        <w:textAlignment w:val="auto"/>
        <w:rPr>
          <w:rFonts w:hint="eastAsia" w:eastAsia="仿宋_GB2312" w:cs="Times New Roman"/>
          <w:color w:val="000000" w:themeColor="text1"/>
          <w:kern w:val="2"/>
          <w:sz w:val="32"/>
          <w:szCs w:val="32"/>
          <w:highlight w:val="none"/>
          <w:lang w:val="en-US" w:eastAsia="zh-CN" w:bidi="ar-SA"/>
          <w14:textFill>
            <w14:solidFill>
              <w14:schemeClr w14:val="tx1"/>
            </w14:solidFill>
          </w14:textFill>
        </w:rPr>
      </w:pPr>
      <w:r>
        <w:rPr>
          <w:rFonts w:hint="eastAsia"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儿童感染相关重症早期预警与分层管理关键技术</w:t>
      </w:r>
      <w:r>
        <w:rPr>
          <w:rFonts w:hint="eastAsia" w:eastAsia="仿宋_GB2312" w:cs="Times New Roman"/>
          <w:color w:val="000000" w:themeColor="text1"/>
          <w:kern w:val="2"/>
          <w:sz w:val="32"/>
          <w:szCs w:val="32"/>
          <w:highlight w:val="none"/>
          <w:lang w:val="en-US" w:eastAsia="zh-CN" w:bidi="ar-SA"/>
          <w14:textFill>
            <w14:solidFill>
              <w14:schemeClr w14:val="tx1"/>
            </w14:solidFill>
          </w14:textFill>
        </w:rPr>
        <w:t>，地中海贫血免疫异常与慢性炎症风险评估关键技术。</w:t>
      </w:r>
    </w:p>
    <w:p>
      <w:pPr>
        <w:pStyle w:val="6"/>
        <w:keepNext w:val="0"/>
        <w:keepLines w:val="0"/>
        <w:pageBreakBefore w:val="0"/>
        <w:kinsoku/>
        <w:wordWrap/>
        <w:overflowPunct/>
        <w:topLinePunct w:val="0"/>
        <w:autoSpaceDE/>
        <w:autoSpaceDN/>
        <w:bidi w:val="0"/>
        <w:adjustRightInd/>
        <w:spacing w:after="0" w:afterLines="0" w:line="560" w:lineRule="exact"/>
        <w:ind w:firstLine="640"/>
        <w:textAlignment w:val="auto"/>
        <w:rPr>
          <w:rFonts w:hint="default" w:ascii="Times New Roman" w:hAnsi="Times New Roman" w:eastAsia="黑体" w:cs="Times New Roman"/>
          <w:color w:val="000000" w:themeColor="text1"/>
          <w:sz w:val="32"/>
          <w:szCs w:val="32"/>
          <w:highlight w:val="none"/>
          <w14:textFill>
            <w14:solidFill>
              <w14:schemeClr w14:val="tx1"/>
            </w14:solidFill>
          </w14:textFill>
        </w:rPr>
      </w:pPr>
      <w:r>
        <w:rPr>
          <w:rFonts w:hint="eastAsia" w:eastAsia="黑体" w:cs="Times New Roman"/>
          <w:color w:val="000000" w:themeColor="text1"/>
          <w:sz w:val="32"/>
          <w:szCs w:val="32"/>
          <w:highlight w:val="none"/>
          <w:lang w:eastAsia="zh-CN"/>
          <w14:textFill>
            <w14:solidFill>
              <w14:schemeClr w14:val="tx1"/>
            </w14:solidFill>
          </w14:textFill>
        </w:rPr>
        <w:t>八</w:t>
      </w:r>
      <w:r>
        <w:rPr>
          <w:rFonts w:hint="default" w:ascii="Times New Roman" w:hAnsi="Times New Roman" w:eastAsia="黑体" w:cs="Times New Roman"/>
          <w:color w:val="000000" w:themeColor="text1"/>
          <w:sz w:val="32"/>
          <w:szCs w:val="32"/>
          <w:highlight w:val="none"/>
          <w14:textFill>
            <w14:solidFill>
              <w14:schemeClr w14:val="tx1"/>
            </w14:solidFill>
          </w14:textFill>
        </w:rPr>
        <w:t>、其他说明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（一）科技成果转化类项目：</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要求</w:t>
      </w:r>
      <w:r>
        <w:rPr>
          <w:rFonts w:hint="eastAsia" w:ascii="仿宋_GB2312" w:hAnsi="仿宋_GB2312" w:eastAsia="仿宋_GB2312" w:cs="仿宋_GB2312"/>
          <w:color w:val="000000" w:themeColor="text1"/>
          <w:sz w:val="32"/>
          <w:szCs w:val="32"/>
          <w:highlight w:val="none"/>
          <w14:textFill>
            <w14:solidFill>
              <w14:schemeClr w14:val="tx1"/>
            </w14:solidFill>
          </w14:textFill>
        </w:rPr>
        <w:t>知识产权归属</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明</w:t>
      </w:r>
      <w:r>
        <w:rPr>
          <w:rFonts w:hint="eastAsia" w:ascii="仿宋_GB2312" w:hAnsi="仿宋_GB2312" w:eastAsia="仿宋_GB2312" w:cs="仿宋_GB2312"/>
          <w:color w:val="000000" w:themeColor="text1"/>
          <w:sz w:val="32"/>
          <w:szCs w:val="32"/>
          <w:highlight w:val="none"/>
          <w14:textFill>
            <w14:solidFill>
              <w14:schemeClr w14:val="tx1"/>
            </w14:solidFill>
          </w14:textFill>
        </w:rPr>
        <w:t>晰</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对产业发展具有推动作用</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知识产权不</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明</w:t>
      </w:r>
      <w:r>
        <w:rPr>
          <w:rFonts w:hint="eastAsia" w:ascii="仿宋_GB2312" w:hAnsi="仿宋_GB2312" w:eastAsia="仿宋_GB2312" w:cs="仿宋_GB2312"/>
          <w:color w:val="000000" w:themeColor="text1"/>
          <w:sz w:val="32"/>
          <w:szCs w:val="32"/>
          <w:highlight w:val="none"/>
          <w14:textFill>
            <w14:solidFill>
              <w14:schemeClr w14:val="tx1"/>
            </w14:solidFill>
          </w14:textFill>
        </w:rPr>
        <w:t>晰或有权属纠纷的项目、单纯技术引进</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量产能力放大</w:t>
      </w:r>
      <w:r>
        <w:rPr>
          <w:rFonts w:hint="eastAsia" w:ascii="仿宋_GB2312" w:hAnsi="仿宋_GB2312" w:eastAsia="仿宋_GB2312" w:cs="仿宋_GB2312"/>
          <w:color w:val="000000" w:themeColor="text1"/>
          <w:sz w:val="32"/>
          <w:szCs w:val="32"/>
          <w:highlight w:val="none"/>
          <w14:textFill>
            <w14:solidFill>
              <w14:schemeClr w14:val="tx1"/>
            </w14:solidFill>
          </w14:textFill>
        </w:rPr>
        <w:t>的项目、已成熟的商品化生产项目不在本次申报范围之内。</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default"/>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 xml:space="preserve"> </w:t>
      </w:r>
      <w:bookmarkEnd w:id="0"/>
      <w:bookmarkEnd w:id="1"/>
      <w:bookmarkEnd w:id="2"/>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（二）</w:t>
      </w:r>
      <w:r>
        <w:rPr>
          <w:rFonts w:hint="default"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项目实施与经费管理严格按照《关于改革完善省级</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财政科研经费管理的若干措施</w:t>
      </w:r>
      <w:r>
        <w:rPr>
          <w:rFonts w:hint="default" w:ascii="Times New Roman" w:hAnsi="Times New Roman" w:eastAsia="仿宋_GB2312" w:cs="Times New Roman"/>
          <w:i w:val="0"/>
          <w:caps w:val="0"/>
          <w:color w:val="000000" w:themeColor="text1"/>
          <w:spacing w:val="0"/>
          <w:sz w:val="32"/>
          <w:szCs w:val="32"/>
          <w:highlight w:val="none"/>
          <w14:textFill>
            <w14:solidFill>
              <w14:schemeClr w14:val="tx1"/>
            </w14:solidFill>
          </w14:textFill>
        </w:rPr>
        <w:t>》（琼府办</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〔2022〕20号</w:t>
      </w:r>
      <w:r>
        <w:rPr>
          <w:rFonts w:hint="default" w:ascii="Times New Roman" w:hAnsi="Times New Roman" w:eastAsia="仿宋_GB2312" w:cs="Times New Roman"/>
          <w:i w:val="0"/>
          <w:caps w:val="0"/>
          <w:color w:val="000000" w:themeColor="text1"/>
          <w:spacing w:val="0"/>
          <w:sz w:val="32"/>
          <w:szCs w:val="32"/>
          <w:highlight w:val="none"/>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《海南省重点研发专项和经费管理暂行办法》（琼科规〔2025〕6号）</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和</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三亚市科技项目与经费管理办法</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三科工信规〔20</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24</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号</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等文件，</w:t>
      </w:r>
      <w:r>
        <w:rPr>
          <w:rFonts w:hint="default" w:ascii="Times New Roman" w:hAnsi="Times New Roman" w:eastAsia="仿宋_GB2312" w:cs="Times New Roman"/>
          <w:color w:val="000000" w:themeColor="text1"/>
          <w:sz w:val="32"/>
          <w:szCs w:val="32"/>
          <w:highlight w:val="none"/>
          <w:lang w:val="en" w:eastAsia="zh-CN"/>
          <w14:textFill>
            <w14:solidFill>
              <w14:schemeClr w14:val="tx1"/>
            </w14:solidFill>
          </w14:textFill>
        </w:rPr>
        <w:t>以及国家、海南</w:t>
      </w:r>
      <w:r>
        <w:rPr>
          <w:rFonts w:hint="default" w:ascii="Times New Roman" w:hAnsi="Times New Roman" w:eastAsia="仿宋_GB2312" w:cs="Times New Roman"/>
          <w:color w:val="000000" w:themeColor="text1"/>
          <w:spacing w:val="-2"/>
          <w:sz w:val="32"/>
          <w:szCs w:val="32"/>
          <w:highlight w:val="none"/>
          <w:lang w:val="en"/>
          <w14:textFill>
            <w14:solidFill>
              <w14:schemeClr w14:val="tx1"/>
            </w14:solidFill>
          </w14:textFill>
        </w:rPr>
        <w:t>省和三亚市有关财经法规和财务管理制度</w:t>
      </w:r>
      <w:r>
        <w:rPr>
          <w:rFonts w:hint="default" w:ascii="Times New Roman" w:hAnsi="Times New Roman" w:eastAsia="仿宋_GB2312" w:cs="Times New Roman"/>
          <w:color w:val="000000" w:themeColor="text1"/>
          <w:spacing w:val="-2"/>
          <w:sz w:val="32"/>
          <w:szCs w:val="32"/>
          <w:highlight w:val="none"/>
          <w:lang w:val="en" w:eastAsia="zh-CN"/>
          <w14:textFill>
            <w14:solidFill>
              <w14:schemeClr w14:val="tx1"/>
            </w14:solidFill>
          </w14:textFill>
        </w:rPr>
        <w:t>执行。</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Times-Roman">
    <w:altName w:val="Nimbus Roman No9 L"/>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A0000287" w:usb1="28CF3C52" w:usb2="00000016" w:usb3="00000000" w:csb0="0004001F" w:csb1="00000000"/>
  </w:font>
  <w:font w:name="方正宋体S-超大字符集">
    <w:panose1 w:val="02000000000000000000"/>
    <w:charset w:val="86"/>
    <w:family w:val="auto"/>
    <w:pitch w:val="default"/>
    <w:sig w:usb0="00000001" w:usb1="08000000" w:usb2="00000000" w:usb3="00000000" w:csb0="00040000" w:csb1="00000000"/>
  </w:font>
  <w:font w:name="Microsoft YaHei">
    <w:panose1 w:val="020B0503020204020204"/>
    <w:charset w:val="86"/>
    <w:family w:val="auto"/>
    <w:pitch w:val="default"/>
    <w:sig w:usb0="A0000287" w:usb1="28CF3C52"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7"/>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7D8DF40"/>
    <w:multiLevelType w:val="singleLevel"/>
    <w:tmpl w:val="77D8DF4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F43EAB"/>
    <w:rsid w:val="00DA1E03"/>
    <w:rsid w:val="02C674E5"/>
    <w:rsid w:val="05C9666C"/>
    <w:rsid w:val="05F43EAB"/>
    <w:rsid w:val="06A4420C"/>
    <w:rsid w:val="06F67BD6"/>
    <w:rsid w:val="08AD679F"/>
    <w:rsid w:val="0A505DEC"/>
    <w:rsid w:val="0B4952FE"/>
    <w:rsid w:val="0B5B2AE8"/>
    <w:rsid w:val="0CC31A26"/>
    <w:rsid w:val="0DD76AB5"/>
    <w:rsid w:val="0E1E4570"/>
    <w:rsid w:val="0F3D60B4"/>
    <w:rsid w:val="13F97E6F"/>
    <w:rsid w:val="14481EB3"/>
    <w:rsid w:val="17F744B2"/>
    <w:rsid w:val="1B174119"/>
    <w:rsid w:val="1C623C5A"/>
    <w:rsid w:val="1C7B35A2"/>
    <w:rsid w:val="1DBD0FDA"/>
    <w:rsid w:val="1E9D9E15"/>
    <w:rsid w:val="1F78505D"/>
    <w:rsid w:val="20800337"/>
    <w:rsid w:val="267532B7"/>
    <w:rsid w:val="2C2368F8"/>
    <w:rsid w:val="2C884E40"/>
    <w:rsid w:val="2EB349D8"/>
    <w:rsid w:val="2F382895"/>
    <w:rsid w:val="2FFE7595"/>
    <w:rsid w:val="30F12CC4"/>
    <w:rsid w:val="31B3794B"/>
    <w:rsid w:val="33044AF8"/>
    <w:rsid w:val="33BD0D43"/>
    <w:rsid w:val="3403469B"/>
    <w:rsid w:val="35775D71"/>
    <w:rsid w:val="3664713E"/>
    <w:rsid w:val="36676593"/>
    <w:rsid w:val="36D46DF1"/>
    <w:rsid w:val="36FC3ECB"/>
    <w:rsid w:val="37BD5FC2"/>
    <w:rsid w:val="37DF169E"/>
    <w:rsid w:val="37FDD26B"/>
    <w:rsid w:val="383249F0"/>
    <w:rsid w:val="38465899"/>
    <w:rsid w:val="38F1141C"/>
    <w:rsid w:val="39FFEF42"/>
    <w:rsid w:val="3C676A24"/>
    <w:rsid w:val="3C8047AD"/>
    <w:rsid w:val="3D1BC0F7"/>
    <w:rsid w:val="3D777EA4"/>
    <w:rsid w:val="3E297951"/>
    <w:rsid w:val="3E3C7756"/>
    <w:rsid w:val="3E541FA5"/>
    <w:rsid w:val="42516609"/>
    <w:rsid w:val="44AA6B16"/>
    <w:rsid w:val="46470276"/>
    <w:rsid w:val="49165F14"/>
    <w:rsid w:val="49C93036"/>
    <w:rsid w:val="49FD08A9"/>
    <w:rsid w:val="4A2671E0"/>
    <w:rsid w:val="4EC72EE5"/>
    <w:rsid w:val="4EE806BC"/>
    <w:rsid w:val="4EEF1ACC"/>
    <w:rsid w:val="4F872783"/>
    <w:rsid w:val="514F5BD6"/>
    <w:rsid w:val="57476D61"/>
    <w:rsid w:val="5A031667"/>
    <w:rsid w:val="5AB62445"/>
    <w:rsid w:val="5B850370"/>
    <w:rsid w:val="5BD28DC7"/>
    <w:rsid w:val="5EC9167F"/>
    <w:rsid w:val="5F5F50FE"/>
    <w:rsid w:val="5F7D6797"/>
    <w:rsid w:val="5FB057EC"/>
    <w:rsid w:val="60D5ABDF"/>
    <w:rsid w:val="6168B899"/>
    <w:rsid w:val="63395146"/>
    <w:rsid w:val="64853341"/>
    <w:rsid w:val="64FDCD25"/>
    <w:rsid w:val="66FFB3CC"/>
    <w:rsid w:val="699E6EC1"/>
    <w:rsid w:val="69EF667F"/>
    <w:rsid w:val="69FF46E1"/>
    <w:rsid w:val="6A945728"/>
    <w:rsid w:val="6AE645C8"/>
    <w:rsid w:val="6B6E554D"/>
    <w:rsid w:val="6B8AD670"/>
    <w:rsid w:val="6BFBA61B"/>
    <w:rsid w:val="6C2E7A83"/>
    <w:rsid w:val="6C4D0FB5"/>
    <w:rsid w:val="6D0206B5"/>
    <w:rsid w:val="6DE66D0B"/>
    <w:rsid w:val="6E467539"/>
    <w:rsid w:val="6E6ED76C"/>
    <w:rsid w:val="6E740725"/>
    <w:rsid w:val="6FA52F61"/>
    <w:rsid w:val="6FD6F14C"/>
    <w:rsid w:val="6FFF140E"/>
    <w:rsid w:val="706E3D4F"/>
    <w:rsid w:val="71A13116"/>
    <w:rsid w:val="73323E71"/>
    <w:rsid w:val="73FF38A6"/>
    <w:rsid w:val="768575CD"/>
    <w:rsid w:val="776F6F6A"/>
    <w:rsid w:val="79BE18C4"/>
    <w:rsid w:val="79CF8CEB"/>
    <w:rsid w:val="79EF6E8A"/>
    <w:rsid w:val="7A9B6A72"/>
    <w:rsid w:val="7AED9C96"/>
    <w:rsid w:val="7BDB9CD0"/>
    <w:rsid w:val="7C75220A"/>
    <w:rsid w:val="7CE50630"/>
    <w:rsid w:val="7D477B92"/>
    <w:rsid w:val="7D77800F"/>
    <w:rsid w:val="7D7F6816"/>
    <w:rsid w:val="7E17126D"/>
    <w:rsid w:val="7EDB8669"/>
    <w:rsid w:val="7EDFCE42"/>
    <w:rsid w:val="7EFEDC23"/>
    <w:rsid w:val="7F512BC2"/>
    <w:rsid w:val="7F7FDB47"/>
    <w:rsid w:val="7FAD8039"/>
    <w:rsid w:val="7FB3E5C0"/>
    <w:rsid w:val="7FB5DD92"/>
    <w:rsid w:val="7FD75198"/>
    <w:rsid w:val="7FEF3BAD"/>
    <w:rsid w:val="7FFDEDF6"/>
    <w:rsid w:val="7FFF8E7F"/>
    <w:rsid w:val="97754C66"/>
    <w:rsid w:val="97C98F1B"/>
    <w:rsid w:val="9DD73997"/>
    <w:rsid w:val="9FDE6D94"/>
    <w:rsid w:val="A3C7DF57"/>
    <w:rsid w:val="B7FFB326"/>
    <w:rsid w:val="BF5F1C0C"/>
    <w:rsid w:val="BFF72FF0"/>
    <w:rsid w:val="BFF76708"/>
    <w:rsid w:val="C6FDA661"/>
    <w:rsid w:val="C77E271C"/>
    <w:rsid w:val="CFAF8B05"/>
    <w:rsid w:val="D1FB1B89"/>
    <w:rsid w:val="D3EBCA40"/>
    <w:rsid w:val="D6FF36D4"/>
    <w:rsid w:val="D79ACDA5"/>
    <w:rsid w:val="D82FAD64"/>
    <w:rsid w:val="DB7D036B"/>
    <w:rsid w:val="DCB74DCA"/>
    <w:rsid w:val="DDF15729"/>
    <w:rsid w:val="DE9B715E"/>
    <w:rsid w:val="DF7BEF3B"/>
    <w:rsid w:val="DFBC086A"/>
    <w:rsid w:val="DFDF1FF3"/>
    <w:rsid w:val="E27D3C8B"/>
    <w:rsid w:val="E7D64614"/>
    <w:rsid w:val="EEEF10A1"/>
    <w:rsid w:val="EEFD195A"/>
    <w:rsid w:val="EEFF631B"/>
    <w:rsid w:val="EEFFD92F"/>
    <w:rsid w:val="EF7BE0A9"/>
    <w:rsid w:val="EFD3197B"/>
    <w:rsid w:val="F3D7E2F6"/>
    <w:rsid w:val="F469E485"/>
    <w:rsid w:val="F4FC41E9"/>
    <w:rsid w:val="F6BD3257"/>
    <w:rsid w:val="F7BF254E"/>
    <w:rsid w:val="F7EEC9EF"/>
    <w:rsid w:val="F7F7D381"/>
    <w:rsid w:val="FA6BCA9C"/>
    <w:rsid w:val="FBE9E409"/>
    <w:rsid w:val="FBFBD106"/>
    <w:rsid w:val="FBFFBEB1"/>
    <w:rsid w:val="FCFEFB88"/>
    <w:rsid w:val="FD7E8046"/>
    <w:rsid w:val="FE7898AF"/>
    <w:rsid w:val="FEFDA3E6"/>
    <w:rsid w:val="FF5C57CB"/>
    <w:rsid w:val="FF5D2AF3"/>
    <w:rsid w:val="FF652AE6"/>
    <w:rsid w:val="FF9532B7"/>
    <w:rsid w:val="FFCFE836"/>
    <w:rsid w:val="FFE7596F"/>
    <w:rsid w:val="FFEFCF18"/>
    <w:rsid w:val="FFFA0C6C"/>
    <w:rsid w:val="FFFE7CEC"/>
    <w:rsid w:val="FFFF0172"/>
    <w:rsid w:val="FFFFAF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iPriority="99"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0"/>
    <w:pPr>
      <w:ind w:firstLine="420" w:firstLineChars="200"/>
    </w:pPr>
    <w:rPr>
      <w:rFonts w:hint="default"/>
      <w:sz w:val="32"/>
      <w:szCs w:val="24"/>
    </w:rPr>
  </w:style>
  <w:style w:type="paragraph" w:styleId="3">
    <w:name w:val="Body Text Indent"/>
    <w:basedOn w:val="1"/>
    <w:unhideWhenUsed/>
    <w:qFormat/>
    <w:uiPriority w:val="0"/>
    <w:pPr>
      <w:ind w:left="420" w:leftChars="200"/>
    </w:pPr>
    <w:rPr>
      <w:rFonts w:hint="default"/>
      <w:sz w:val="32"/>
      <w:szCs w:val="24"/>
    </w:rPr>
  </w:style>
  <w:style w:type="paragraph" w:styleId="4">
    <w:name w:val="annotation text"/>
    <w:basedOn w:val="1"/>
    <w:qFormat/>
    <w:uiPriority w:val="0"/>
    <w:pPr>
      <w:jc w:val="left"/>
    </w:pPr>
  </w:style>
  <w:style w:type="paragraph" w:styleId="5">
    <w:name w:val="index 6"/>
    <w:basedOn w:val="1"/>
    <w:next w:val="1"/>
    <w:unhideWhenUsed/>
    <w:qFormat/>
    <w:uiPriority w:val="99"/>
    <w:pPr>
      <w:ind w:left="2100"/>
    </w:pPr>
  </w:style>
  <w:style w:type="paragraph" w:styleId="6">
    <w:name w:val="Body Text"/>
    <w:basedOn w:val="1"/>
    <w:unhideWhenUsed/>
    <w:qFormat/>
    <w:uiPriority w:val="99"/>
    <w:pPr>
      <w:spacing w:after="0" w:afterLines="0" w:afterAutospacing="0"/>
    </w:pPr>
    <w:rPr>
      <w:rFonts w:ascii="Times New Roman" w:hAnsi="Times New Roman"/>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HTML Preformatted"/>
    <w:basedOn w:val="1"/>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Title"/>
    <w:next w:val="1"/>
    <w:qFormat/>
    <w:uiPriority w:val="99"/>
    <w:pPr>
      <w:widowControl w:val="0"/>
      <w:spacing w:before="240" w:after="60"/>
      <w:jc w:val="center"/>
      <w:outlineLvl w:val="0"/>
    </w:pPr>
    <w:rPr>
      <w:rFonts w:ascii="Cambria" w:hAnsi="Cambria" w:eastAsia="宋体" w:cs="宋体"/>
      <w:b/>
      <w:bCs/>
      <w:kern w:val="2"/>
      <w:sz w:val="32"/>
      <w:szCs w:val="32"/>
      <w:lang w:val="en-US" w:eastAsia="zh-CN" w:bidi="ar-SA"/>
    </w:rPr>
  </w:style>
  <w:style w:type="paragraph" w:customStyle="1" w:styleId="13">
    <w:name w:val="Default"/>
    <w:basedOn w:val="14"/>
    <w:next w:val="15"/>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
    <w:name w:val="纯文本1"/>
    <w:basedOn w:val="1"/>
    <w:qFormat/>
    <w:uiPriority w:val="0"/>
    <w:pPr>
      <w:textAlignment w:val="baseline"/>
    </w:pPr>
    <w:rPr>
      <w:rFonts w:ascii="宋体" w:hAnsi="Courier New"/>
    </w:rPr>
  </w:style>
  <w:style w:type="paragraph" w:customStyle="1" w:styleId="15">
    <w:name w:val="正文文字 6"/>
    <w:next w:val="1"/>
    <w:qFormat/>
    <w:uiPriority w:val="99"/>
    <w:pPr>
      <w:widowControl w:val="0"/>
      <w:ind w:left="240"/>
      <w:jc w:val="both"/>
    </w:pPr>
    <w:rPr>
      <w:rFonts w:ascii="宋体" w:hAnsi="Times New Roman" w:eastAsia="宋体"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其他</Company>
  <Pages>1</Pages>
  <Words>0</Words>
  <Characters>0</Characters>
  <Lines>1</Lines>
  <Paragraphs>1</Paragraphs>
  <TotalTime>17</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2025-11-27T04:38:00Z</dcterms:created>
  <dc:creator>Administrator</dc:creator>
  <cp:lastModifiedBy>user</cp:lastModifiedBy>
  <dcterms:modified xsi:type="dcterms:W3CDTF">2026-06-02T09:56:05Z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