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7ED7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黑体" w:hAnsi="黑体" w:eastAsia="黑体" w:cs="黑体"/>
          <w:b/>
          <w:bCs/>
          <w:color w:val="000000" w:themeColor="text1"/>
          <w:sz w:val="52"/>
          <w:szCs w:val="52"/>
          <w:lang w:val="en-US" w:eastAsia="zh-CN"/>
          <w14:textFill>
            <w14:solidFill>
              <w14:schemeClr w14:val="tx1"/>
            </w14:solidFill>
          </w14:textFill>
        </w:rPr>
      </w:pPr>
    </w:p>
    <w:p w14:paraId="485ACC7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黑体" w:hAnsi="黑体" w:eastAsia="黑体" w:cs="黑体"/>
          <w:b/>
          <w:bCs/>
          <w:color w:val="000000" w:themeColor="text1"/>
          <w:sz w:val="52"/>
          <w:szCs w:val="52"/>
          <w:lang w:val="en-US" w:eastAsia="zh-CN"/>
          <w14:textFill>
            <w14:solidFill>
              <w14:schemeClr w14:val="tx1"/>
            </w14:solidFill>
          </w14:textFill>
        </w:rPr>
      </w:pPr>
    </w:p>
    <w:p w14:paraId="08E6D27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黑体" w:hAnsi="黑体" w:eastAsia="黑体" w:cs="黑体"/>
          <w:b/>
          <w:bCs/>
          <w:color w:val="000000" w:themeColor="text1"/>
          <w:sz w:val="52"/>
          <w:szCs w:val="52"/>
          <w:lang w:val="en-US" w:eastAsia="zh-CN"/>
          <w14:textFill>
            <w14:solidFill>
              <w14:schemeClr w14:val="tx1"/>
            </w14:solidFill>
          </w14:textFill>
        </w:rPr>
      </w:pPr>
    </w:p>
    <w:p w14:paraId="52CC5AF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大标宋简体" w:hAnsi="方正大标宋简体" w:eastAsia="方正大标宋简体" w:cs="方正大标宋简体"/>
          <w:b w:val="0"/>
          <w:bCs w:val="0"/>
          <w:color w:val="000000" w:themeColor="text1"/>
          <w:sz w:val="62"/>
          <w:szCs w:val="62"/>
          <w:lang w:val="en-US" w:eastAsia="zh-CN"/>
          <w14:textFill>
            <w14:solidFill>
              <w14:schemeClr w14:val="tx1"/>
            </w14:solidFill>
          </w14:textFill>
        </w:rPr>
      </w:pPr>
      <w:r>
        <w:rPr>
          <w:rFonts w:hint="eastAsia" w:ascii="方正大标宋简体" w:hAnsi="方正大标宋简体" w:eastAsia="方正大标宋简体" w:cs="方正大标宋简体"/>
          <w:b w:val="0"/>
          <w:bCs w:val="0"/>
          <w:color w:val="000000" w:themeColor="text1"/>
          <w:sz w:val="72"/>
          <w:szCs w:val="72"/>
          <w:lang w:val="en-US" w:eastAsia="zh-CN"/>
          <w14:textFill>
            <w14:solidFill>
              <w14:schemeClr w14:val="tx1"/>
            </w14:solidFill>
          </w14:textFill>
        </w:rPr>
        <w:t>三亚市天涯区三亚港3号航道标海域“7·12”一般溺水事故调查报告</w:t>
      </w:r>
    </w:p>
    <w:p w14:paraId="5A4508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095F2C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2CCB1A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292E9C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19F775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2E2421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50023A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466EE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000000" w:themeColor="text1"/>
          <w:sz w:val="44"/>
          <w:szCs w:val="44"/>
          <w:lang w:val="en-US" w:eastAsia="zh-CN"/>
          <w14:textFill>
            <w14:solidFill>
              <w14:schemeClr w14:val="tx1"/>
            </w14:solidFill>
          </w14:textFill>
        </w:rPr>
      </w:pPr>
    </w:p>
    <w:p w14:paraId="73D5B3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color w:val="000000" w:themeColor="text1"/>
          <w:sz w:val="36"/>
          <w:szCs w:val="36"/>
          <w:lang w:val="en-US" w:eastAsia="zh-CN"/>
          <w14:textFill>
            <w14:solidFill>
              <w14:schemeClr w14:val="tx1"/>
            </w14:solidFill>
          </w14:textFill>
        </w:rPr>
      </w:pPr>
      <w:r>
        <w:rPr>
          <w:rFonts w:hint="eastAsia" w:ascii="黑体" w:hAnsi="黑体" w:eastAsia="黑体" w:cs="黑体"/>
          <w:b w:val="0"/>
          <w:bCs w:val="0"/>
          <w:color w:val="000000" w:themeColor="text1"/>
          <w:sz w:val="36"/>
          <w:szCs w:val="36"/>
          <w:lang w:val="en-US" w:eastAsia="zh-CN"/>
          <w14:textFill>
            <w14:solidFill>
              <w14:schemeClr w14:val="tx1"/>
            </w14:solidFill>
          </w14:textFill>
        </w:rPr>
        <w:t>三亚市“7·12”溺亡事故调查组</w:t>
      </w:r>
    </w:p>
    <w:p w14:paraId="405EB41A">
      <w:pPr>
        <w:keepNext w:val="0"/>
        <w:keepLines w:val="0"/>
        <w:pageBreakBefore w:val="0"/>
        <w:widowControl w:val="0"/>
        <w:kinsoku/>
        <w:overflowPunct/>
        <w:topLinePunct w:val="0"/>
        <w:autoSpaceDE/>
        <w:autoSpaceDN/>
        <w:bidi w:val="0"/>
        <w:spacing w:before="0" w:beforeLines="0" w:after="0" w:afterLines="0" w:line="240" w:lineRule="auto"/>
        <w:ind w:left="0" w:leftChars="0" w:right="0" w:rightChars="0" w:firstLine="0" w:firstLineChars="0"/>
        <w:jc w:val="center"/>
        <w:textAlignment w:val="auto"/>
        <w:rPr>
          <w:rFonts w:ascii="宋体" w:hAnsi="宋体" w:eastAsia="宋体" w:cstheme="minorBidi"/>
          <w:color w:val="000000" w:themeColor="text1"/>
          <w:kern w:val="2"/>
          <w:sz w:val="44"/>
          <w:szCs w:val="44"/>
          <w:lang w:val="en-US" w:eastAsia="zh-CN" w:bidi="ar-SA"/>
          <w14:textFill>
            <w14:solidFill>
              <w14:schemeClr w14:val="tx1"/>
            </w14:solidFill>
          </w14:textFill>
        </w:rPr>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60722"/>
        <w15:color w:val="DBDBDB"/>
        <w:docPartObj>
          <w:docPartGallery w:val="Table of Contents"/>
          <w:docPartUnique/>
        </w:docPartObj>
      </w:sdtPr>
      <w:sdtEndPr>
        <w:rPr>
          <w:rFonts w:hint="eastAsia" w:ascii="仿宋_GB2312" w:hAnsi="仿宋_GB2312" w:eastAsia="仿宋_GB2312" w:cs="仿宋_GB2312"/>
          <w:b/>
          <w:color w:val="000000" w:themeColor="text1"/>
          <w:kern w:val="2"/>
          <w:sz w:val="28"/>
          <w:szCs w:val="28"/>
          <w:lang w:val="en-US" w:eastAsia="zh-CN" w:bidi="ar-SA"/>
          <w14:textFill>
            <w14:solidFill>
              <w14:schemeClr w14:val="tx1"/>
            </w14:solidFill>
          </w14:textFill>
        </w:rPr>
      </w:sdtEndPr>
      <w:sdtContent>
        <w:p w14:paraId="26C6A55A">
          <w:pPr>
            <w:keepNext w:val="0"/>
            <w:keepLines w:val="0"/>
            <w:pageBreakBefore w:val="0"/>
            <w:widowControl w:val="0"/>
            <w:kinsoku/>
            <w:overflowPunct/>
            <w:topLinePunct w:val="0"/>
            <w:autoSpaceDE/>
            <w:autoSpaceDN/>
            <w:bidi w:val="0"/>
            <w:spacing w:before="0" w:beforeLines="0" w:after="0" w:afterLines="0" w:line="240" w:lineRule="auto"/>
            <w:ind w:left="0" w:leftChars="0" w:right="0" w:rightChars="0" w:firstLine="0" w:firstLineChars="0"/>
            <w:jc w:val="center"/>
            <w:textAlignment w:val="auto"/>
            <w:rPr>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14:textFill>
                <w14:solidFill>
                  <w14:schemeClr w14:val="tx1"/>
                </w14:solidFill>
              </w14:textFill>
            </w:rPr>
            <w:t>目</w:t>
          </w:r>
          <w:r>
            <w:rPr>
              <w:rFonts w:hint="eastAsia" w:ascii="黑体" w:hAnsi="黑体" w:eastAsia="黑体" w:cs="黑体"/>
              <w:b/>
              <w:bCs/>
              <w:color w:val="000000" w:themeColor="text1"/>
              <w:sz w:val="44"/>
              <w:szCs w:val="44"/>
              <w:lang w:val="en-US" w:eastAsia="zh-CN"/>
              <w14:textFill>
                <w14:solidFill>
                  <w14:schemeClr w14:val="tx1"/>
                </w14:solidFill>
              </w14:textFill>
            </w:rPr>
            <w:t xml:space="preserve">  </w:t>
          </w:r>
          <w:r>
            <w:rPr>
              <w:rFonts w:hint="eastAsia" w:ascii="黑体" w:hAnsi="黑体" w:eastAsia="黑体" w:cs="黑体"/>
              <w:b/>
              <w:bCs/>
              <w:color w:val="000000" w:themeColor="text1"/>
              <w:sz w:val="44"/>
              <w:szCs w:val="44"/>
              <w14:textFill>
                <w14:solidFill>
                  <w14:schemeClr w14:val="tx1"/>
                </w14:solidFill>
              </w14:textFill>
            </w:rPr>
            <w:t>录</w:t>
          </w:r>
        </w:p>
        <w:p w14:paraId="3E3B676D">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TOC \o "1-2" \h \u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_Toc27948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lang w:val="en-US" w:eastAsia="zh-CN"/>
              <w14:textFill>
                <w14:solidFill>
                  <w14:schemeClr w14:val="tx1"/>
                </w14:solidFill>
              </w14:textFill>
            </w:rPr>
            <w:t>一、基本情况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_Toc27948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59B43912">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_Toc12809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（一）“子硕号”游艇情况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_Toc12809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D55B324">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_Toc8099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（二）有关企业及人员情况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_Toc8099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4E71C254">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_Toc32503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（三）事故水域气象海况及通航环境</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_Toc32503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7AD17206">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_Toc4741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（四）有关企业安全管理情况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_Toc4741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13</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35D35111">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_Toc1388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（五）有关行业领域主管</w:t>
          </w:r>
          <w:r>
            <w:rPr>
              <w:rFonts w:hint="default" w:ascii="楷体" w:hAnsi="楷体" w:eastAsia="楷体" w:cs="楷体"/>
              <w:bCs w:val="0"/>
              <w:color w:val="000000" w:themeColor="text1"/>
              <w:sz w:val="28"/>
              <w:szCs w:val="28"/>
              <w:lang w:val="en-US" w:eastAsia="zh-CN"/>
              <w14:textFill>
                <w14:solidFill>
                  <w14:schemeClr w14:val="tx1"/>
                </w14:solidFill>
              </w14:textFill>
            </w:rPr>
            <w:t>单位</w:t>
          </w:r>
          <w:r>
            <w:rPr>
              <w:rFonts w:hint="eastAsia" w:ascii="楷体" w:hAnsi="楷体" w:eastAsia="楷体" w:cs="楷体"/>
              <w:bCs w:val="0"/>
              <w:color w:val="000000" w:themeColor="text1"/>
              <w:sz w:val="28"/>
              <w:szCs w:val="28"/>
              <w:lang w:val="en-US" w:eastAsia="zh-CN"/>
              <w14:textFill>
                <w14:solidFill>
                  <w14:schemeClr w14:val="tx1"/>
                </w14:solidFill>
              </w14:textFill>
            </w:rPr>
            <w:t>履职情况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_Toc1388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14</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0AE46784">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_Toc7544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lang w:val="en-US" w:eastAsia="zh-CN"/>
              <w14:textFill>
                <w14:solidFill>
                  <w14:schemeClr w14:val="tx1"/>
                </w14:solidFill>
              </w14:textFill>
            </w:rPr>
            <w:t>二、事故发生经过及应急救援情况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_Toc7544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16</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A0D8BD2">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_Toc22208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（一）事故经过</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_Toc22208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16</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4227A27F">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_Toc27538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（二）应急处置情况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_Toc27538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18</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40E209FA">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_Toc23628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（三）后期处置与善后情况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_Toc23628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19</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3CEDB7C4">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_Toc26876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（四）事故损失情况</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_Toc26876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20</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77BEB890">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_Toc8448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lang w:val="en-US" w:eastAsia="zh-CN"/>
              <w14:textFill>
                <w14:solidFill>
                  <w14:schemeClr w14:val="tx1"/>
                </w14:solidFill>
              </w14:textFill>
            </w:rPr>
            <w:t>三、事故原因及性质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_Toc8448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20</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4A730D0F">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_Toc11945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（一）直接原因</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_Toc11945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20</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7B854B8E">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_Toc13500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（二）间接原因</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_Toc13500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21</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5FCF90D9">
          <w:pPr>
            <w:pStyle w:val="11"/>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_Toc25804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楷体" w:hAnsi="楷体" w:eastAsia="楷体" w:cs="楷体"/>
              <w:bCs w:val="0"/>
              <w:color w:val="000000" w:themeColor="text1"/>
              <w:sz w:val="28"/>
              <w:szCs w:val="28"/>
              <w:lang w:val="en-US" w:eastAsia="zh-CN"/>
              <w14:textFill>
                <w14:solidFill>
                  <w14:schemeClr w14:val="tx1"/>
                </w14:solidFill>
              </w14:textFill>
            </w:rPr>
            <w:t>（三）事故性质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_Toc25804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23</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7EF51037">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_Toc24433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lang w:val="en-US" w:eastAsia="zh-CN"/>
              <w14:textFill>
                <w14:solidFill>
                  <w14:schemeClr w14:val="tx1"/>
                </w14:solidFill>
              </w14:textFill>
            </w:rPr>
            <w:t>四、事故责任认定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_Toc24433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24</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0A49FCBC">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_Toc6641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lang w:val="en-US" w:eastAsia="zh-CN"/>
              <w14:textFill>
                <w14:solidFill>
                  <w14:schemeClr w14:val="tx1"/>
                </w14:solidFill>
              </w14:textFill>
            </w:rPr>
            <w:t>五、调查发现的其他问题</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_Toc6641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24</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464345BE">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_Toc19032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lang w:val="en-US" w:eastAsia="zh-CN"/>
              <w14:textFill>
                <w14:solidFill>
                  <w14:schemeClr w14:val="tx1"/>
                </w14:solidFill>
              </w14:textFill>
            </w:rPr>
            <w:t>六、事故处理建议</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_Toc19032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25</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05217CB8">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\l _Toc15329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lang w:val="en-US" w:eastAsia="zh-CN"/>
              <w14:textFill>
                <w14:solidFill>
                  <w14:schemeClr w14:val="tx1"/>
                </w14:solidFill>
              </w14:textFill>
            </w:rPr>
            <w:t>七、</w:t>
          </w:r>
          <w:r>
            <w:rPr>
              <w:rFonts w:hint="default" w:ascii="黑体" w:hAnsi="黑体" w:eastAsia="黑体" w:cs="黑体"/>
              <w:color w:val="000000" w:themeColor="text1"/>
              <w:sz w:val="28"/>
              <w:szCs w:val="28"/>
              <w:lang w:val="en-US" w:eastAsia="zh-CN"/>
              <w14:textFill>
                <w14:solidFill>
                  <w14:schemeClr w14:val="tx1"/>
                </w14:solidFill>
              </w14:textFill>
            </w:rPr>
            <w:t>事故整改</w:t>
          </w:r>
          <w:r>
            <w:rPr>
              <w:rFonts w:hint="eastAsia" w:ascii="黑体" w:hAnsi="黑体" w:eastAsia="黑体" w:cs="黑体"/>
              <w:color w:val="000000" w:themeColor="text1"/>
              <w:sz w:val="28"/>
              <w:szCs w:val="28"/>
              <w:lang w:val="en-US" w:eastAsia="zh-CN"/>
              <w14:textFill>
                <w14:solidFill>
                  <w14:schemeClr w14:val="tx1"/>
                </w14:solidFill>
              </w14:textFill>
            </w:rPr>
            <w:t>和</w:t>
          </w:r>
          <w:r>
            <w:rPr>
              <w:rFonts w:hint="default" w:ascii="黑体" w:hAnsi="黑体" w:eastAsia="黑体" w:cs="黑体"/>
              <w:color w:val="000000" w:themeColor="text1"/>
              <w:sz w:val="28"/>
              <w:szCs w:val="28"/>
              <w:lang w:val="en-US" w:eastAsia="zh-CN"/>
              <w14:textFill>
                <w14:solidFill>
                  <w14:schemeClr w14:val="tx1"/>
                </w14:solidFill>
              </w14:textFill>
            </w:rPr>
            <w:t>防范</w:t>
          </w:r>
          <w:r>
            <w:rPr>
              <w:rFonts w:hint="eastAsia" w:ascii="黑体" w:hAnsi="黑体" w:eastAsia="黑体" w:cs="黑体"/>
              <w:color w:val="000000" w:themeColor="text1"/>
              <w:sz w:val="28"/>
              <w:szCs w:val="28"/>
              <w:lang w:val="en-US" w:eastAsia="zh-CN"/>
              <w14:textFill>
                <w14:solidFill>
                  <w14:schemeClr w14:val="tx1"/>
                </w14:solidFill>
              </w14:textFill>
            </w:rPr>
            <w:t>措施</w:t>
          </w:r>
          <w:r>
            <w:rPr>
              <w:rFonts w:hint="default" w:ascii="黑体" w:hAnsi="黑体" w:eastAsia="黑体" w:cs="黑体"/>
              <w:color w:val="000000" w:themeColor="text1"/>
              <w:sz w:val="28"/>
              <w:szCs w:val="28"/>
              <w:lang w:val="en-US" w:eastAsia="zh-CN"/>
              <w14:textFill>
                <w14:solidFill>
                  <w14:schemeClr w14:val="tx1"/>
                </w14:solidFill>
              </w14:textFill>
            </w:rPr>
            <w:t>建议</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_Toc15329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27</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08D3A3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sdtContent>
    </w:sdt>
    <w:p w14:paraId="75EB4156">
      <w:pPr>
        <w:keepNext w:val="0"/>
        <w:keepLines w:val="0"/>
        <w:pageBreakBefore w:val="0"/>
        <w:widowControl w:val="0"/>
        <w:kinsoku/>
        <w:overflowPunct/>
        <w:topLinePunct w:val="0"/>
        <w:autoSpaceDE/>
        <w:autoSpaceDN/>
        <w:bidi w:val="0"/>
        <w:jc w:val="center"/>
        <w:textAlignment w:val="auto"/>
        <w:rPr>
          <w:rFonts w:hint="eastAsia" w:ascii="黑体" w:hAnsi="黑体" w:eastAsia="黑体" w:cs="黑体"/>
          <w:b/>
          <w:bCs/>
          <w:color w:val="000000" w:themeColor="text1"/>
          <w:sz w:val="28"/>
          <w:szCs w:val="28"/>
          <w:lang w:val="en-US" w:eastAsia="zh-CN"/>
          <w14:textFill>
            <w14:solidFill>
              <w14:schemeClr w14:val="tx1"/>
            </w14:solidFill>
          </w14:textFill>
        </w:rPr>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F7626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000000" w:themeColor="text1"/>
          <w:sz w:val="44"/>
          <w:szCs w:val="44"/>
          <w:lang w:val="en-US" w:eastAsia="zh-CN"/>
          <w14:textFill>
            <w14:solidFill>
              <w14:schemeClr w14:val="tx1"/>
            </w14:solidFill>
          </w14:textFill>
        </w:rPr>
      </w:pPr>
      <w:r>
        <w:rPr>
          <w:rFonts w:hint="eastAsia" w:ascii="黑体" w:hAnsi="黑体" w:eastAsia="黑体" w:cs="黑体"/>
          <w:b w:val="0"/>
          <w:bCs w:val="0"/>
          <w:color w:val="000000" w:themeColor="text1"/>
          <w:sz w:val="44"/>
          <w:szCs w:val="44"/>
          <w:lang w:val="en-US" w:eastAsia="zh-CN"/>
          <w14:textFill>
            <w14:solidFill>
              <w14:schemeClr w14:val="tx1"/>
            </w14:solidFill>
          </w14:textFill>
        </w:rPr>
        <w:t>三亚市天涯区三亚港3号航道标海域“7·12”一般溺水事故调查报告</w:t>
      </w:r>
    </w:p>
    <w:p w14:paraId="5BEC1EBA">
      <w:pPr>
        <w:keepNext w:val="0"/>
        <w:keepLines w:val="0"/>
        <w:pageBreakBefore w:val="0"/>
        <w:widowControl w:val="0"/>
        <w:numPr>
          <w:ilvl w:val="0"/>
          <w:numId w:val="0"/>
        </w:numPr>
        <w:kinsoku/>
        <w:overflowPunct/>
        <w:topLinePunct w:val="0"/>
        <w:autoSpaceDE/>
        <w:autoSpaceDN/>
        <w:bidi w:val="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52742CAC">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年7月12日10:41左右，海畅商贸有限公司的“子硕号”游艇搭载12人（10名游客、1名游艇操作员、1名游艇工作人员）在三亚港3号航道标海域（概位：18°13′7102″N/109°28′6668″E）抛锚休闲观光，2名游客从游艇尾甲板处落水，1人获救生还，1人失踪并于7月15日在东岛附近海域被发现其遗体，该事故最终造成1人溺水死亡。</w:t>
      </w:r>
    </w:p>
    <w:p w14:paraId="15E5E3CF">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事故发生后，依据</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rPr>
        <w:t>《中华人民共和国安全生产法》《生产安全事故报告和调查处理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条例》《海南省游艇管理办法》《三亚市水上旅游管理办法》《三亚市生产安全事故调查处理规则》等有关法律与行政法规，三亚市人民政府成立了由市政府常务副市长担任组长，市应急管理局、市交通运输局、三亚海事局、市旅游和文化广电体育局、市公安局、市综合行政执法局、市总工会、市人民检察院、天涯区应急管理局、吉阳区应急管理局等为成员单位的事故调查组</w:t>
      </w:r>
      <w:r>
        <w:rPr>
          <w:rStyle w:val="21"/>
          <w:rFonts w:hint="eastAsia" w:ascii="仿宋_GB2312" w:hAnsi="仿宋_GB2312" w:eastAsia="仿宋_GB2312" w:cs="仿宋_GB2312"/>
          <w:b/>
          <w:bCs/>
          <w:color w:val="000000" w:themeColor="text1"/>
          <w:sz w:val="32"/>
          <w:szCs w:val="32"/>
          <w:lang w:val="en-US" w:eastAsia="zh-CN"/>
          <w14:textFill>
            <w14:solidFill>
              <w14:schemeClr w14:val="tx1"/>
            </w14:solidFill>
          </w14:textFill>
        </w:rPr>
        <w:footnoteReference w:id="0"/>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，同时邀请安全方面专家参与事故调查工作。</w:t>
      </w:r>
    </w:p>
    <w:p w14:paraId="24793EA8">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调查组遵循“四不放过”和“科学严谨、依法依规、实事求是、注重实效”的原则，通过多方取证与复核论证，全面查清事故缘由，查明事故性质和责任，评估总结相关问题与经验教训，并提出处理建议及针对性防范整改措施。</w:t>
      </w:r>
    </w:p>
    <w:p w14:paraId="223B57B7">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w:t>
      </w:r>
      <w:r>
        <w:rPr>
          <w:rFonts w:hint="default" w:ascii="仿宋_GB2312" w:hAnsi="仿宋_GB2312" w:eastAsia="仿宋_GB2312" w:cs="仿宋_GB2312"/>
          <w:color w:val="000000" w:themeColor="text1"/>
          <w:sz w:val="32"/>
          <w:szCs w:val="32"/>
          <w:lang w:val="en" w:eastAsia="zh-CN"/>
          <w14:textFill>
            <w14:solidFill>
              <w14:schemeClr w14:val="tx1"/>
            </w14:solidFill>
          </w14:textFill>
        </w:rPr>
        <w:t>三亚市天涯区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三亚港3号航道标海域“7·12”一般溺</w:t>
      </w:r>
      <w:r>
        <w:rPr>
          <w:rFonts w:hint="default" w:ascii="仿宋_GB2312" w:hAnsi="仿宋_GB2312" w:eastAsia="仿宋_GB2312" w:cs="仿宋_GB2312"/>
          <w:color w:val="000000" w:themeColor="text1"/>
          <w:sz w:val="32"/>
          <w:szCs w:val="32"/>
          <w:lang w:val="en" w:eastAsia="zh-CN"/>
          <w14:textFill>
            <w14:solidFill>
              <w14:schemeClr w14:val="tx1"/>
            </w14:solidFill>
          </w14:textFill>
        </w:rPr>
        <w:t>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事故是一起由于游客冒险行动叠加有关公司未严格落实安全生产主体责任、游艇工作人员现场组织与安全管控不到位，最终导致1人死亡的一般生产安全责任事故。</w:t>
      </w:r>
    </w:p>
    <w:p w14:paraId="28689FC3">
      <w:pPr>
        <w:pStyle w:val="2"/>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643"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0" w:name="_Toc27948"/>
      <w:r>
        <w:rPr>
          <w:rFonts w:hint="eastAsia" w:ascii="黑体" w:hAnsi="黑体" w:eastAsia="黑体" w:cs="黑体"/>
          <w:color w:val="000000" w:themeColor="text1"/>
          <w:sz w:val="32"/>
          <w:szCs w:val="32"/>
          <w:lang w:val="en-US" w:eastAsia="zh-CN"/>
          <w14:textFill>
            <w14:solidFill>
              <w14:schemeClr w14:val="tx1"/>
            </w14:solidFill>
          </w14:textFill>
        </w:rPr>
        <w:t>一、基本情况</w:t>
      </w:r>
      <w:bookmarkEnd w:id="0"/>
    </w:p>
    <w:p w14:paraId="58D6A919">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1" w:name="_Toc12809"/>
      <w:r>
        <w:rPr>
          <w:rFonts w:hint="eastAsia" w:ascii="楷体" w:hAnsi="楷体" w:eastAsia="楷体" w:cs="楷体"/>
          <w:b w:val="0"/>
          <w:bCs w:val="0"/>
          <w:color w:val="000000" w:themeColor="text1"/>
          <w:sz w:val="32"/>
          <w:szCs w:val="32"/>
          <w:lang w:val="en-US" w:eastAsia="zh-CN"/>
          <w14:textFill>
            <w14:solidFill>
              <w14:schemeClr w14:val="tx1"/>
            </w14:solidFill>
          </w14:textFill>
        </w:rPr>
        <w:t>（一）“子硕号”游艇情况</w:t>
      </w:r>
      <w:bookmarkEnd w:id="1"/>
    </w:p>
    <w:p w14:paraId="47817F0B">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jc w:val="both"/>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1.基本信息</w:t>
      </w:r>
    </w:p>
    <w:tbl>
      <w:tblPr>
        <w:tblStyle w:val="16"/>
        <w:tblW w:w="93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857"/>
      </w:tblGrid>
      <w:tr w14:paraId="05EF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0" w:type="dxa"/>
          </w:tcPr>
          <w:p w14:paraId="1D0D821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船名：子硕号</w:t>
            </w:r>
          </w:p>
        </w:tc>
        <w:tc>
          <w:tcPr>
            <w:tcW w:w="4857" w:type="dxa"/>
          </w:tcPr>
          <w:p w14:paraId="38BC4D6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船籍港：三亚</w:t>
            </w:r>
          </w:p>
        </w:tc>
      </w:tr>
      <w:tr w14:paraId="7FD2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530" w:type="dxa"/>
          </w:tcPr>
          <w:p w14:paraId="00E074D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船舶种类：Ⅳ类游艇</w:t>
            </w:r>
          </w:p>
        </w:tc>
        <w:tc>
          <w:tcPr>
            <w:tcW w:w="4857" w:type="dxa"/>
          </w:tcPr>
          <w:p w14:paraId="6A8C204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总吨：25</w:t>
            </w:r>
          </w:p>
        </w:tc>
      </w:tr>
      <w:tr w14:paraId="6CEA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tcPr>
          <w:p w14:paraId="4ACA09B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艇长：13.71米</w:t>
            </w:r>
          </w:p>
        </w:tc>
        <w:tc>
          <w:tcPr>
            <w:tcW w:w="4857" w:type="dxa"/>
          </w:tcPr>
          <w:p w14:paraId="75D7C95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净吨：7</w:t>
            </w:r>
          </w:p>
        </w:tc>
      </w:tr>
      <w:tr w14:paraId="42B6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tcPr>
          <w:p w14:paraId="2D3FB44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艇宽：3.78米</w:t>
            </w:r>
          </w:p>
        </w:tc>
        <w:tc>
          <w:tcPr>
            <w:tcW w:w="4857" w:type="dxa"/>
          </w:tcPr>
          <w:p w14:paraId="0F5DA6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型深：2.13米</w:t>
            </w:r>
          </w:p>
        </w:tc>
      </w:tr>
      <w:tr w14:paraId="136C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tcPr>
          <w:p w14:paraId="210BE31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干舷：1326毫米</w:t>
            </w:r>
          </w:p>
        </w:tc>
        <w:tc>
          <w:tcPr>
            <w:tcW w:w="4857" w:type="dxa"/>
          </w:tcPr>
          <w:p w14:paraId="7C30474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主机：2内燃机，总464千瓦</w:t>
            </w:r>
          </w:p>
        </w:tc>
      </w:tr>
      <w:tr w14:paraId="2831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shd w:val="clear" w:color="auto" w:fill="auto"/>
            <w:vAlign w:val="top"/>
          </w:tcPr>
          <w:p w14:paraId="4F3F48B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kern w:val="2"/>
                <w:sz w:val="28"/>
                <w:szCs w:val="28"/>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建成日期：2020年1月18日</w:t>
            </w:r>
          </w:p>
        </w:tc>
        <w:tc>
          <w:tcPr>
            <w:tcW w:w="4857" w:type="dxa"/>
            <w:shd w:val="clear" w:color="auto" w:fill="auto"/>
            <w:vAlign w:val="top"/>
          </w:tcPr>
          <w:p w14:paraId="7C50277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kern w:val="2"/>
                <w:sz w:val="28"/>
                <w:szCs w:val="28"/>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乘员定额：12人</w:t>
            </w:r>
          </w:p>
        </w:tc>
      </w:tr>
      <w:tr w14:paraId="4E20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tcPr>
          <w:p w14:paraId="05000F2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船检登记号：2020X2500039</w:t>
            </w:r>
          </w:p>
        </w:tc>
        <w:tc>
          <w:tcPr>
            <w:tcW w:w="4857" w:type="dxa"/>
          </w:tcPr>
          <w:p w14:paraId="173249C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船舶识别号：CN20191801438</w:t>
            </w:r>
          </w:p>
        </w:tc>
      </w:tr>
      <w:tr w14:paraId="73F8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7" w:type="dxa"/>
            <w:gridSpan w:val="2"/>
          </w:tcPr>
          <w:p w14:paraId="4CA297E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船舶所有人：</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海畅商贸有限公司（非共有船舶）</w:t>
            </w:r>
          </w:p>
        </w:tc>
      </w:tr>
      <w:tr w14:paraId="0343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387" w:type="dxa"/>
            <w:gridSpan w:val="2"/>
          </w:tcPr>
          <w:p w14:paraId="36BE40F7">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在海南本岛从事租赁业务活动的操作限制条件如下：</w:t>
            </w:r>
          </w:p>
          <w:p w14:paraId="01B2DA6B">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1.距庇护地最大距离不超过5n mile（注：5海里）；</w:t>
            </w:r>
          </w:p>
          <w:p w14:paraId="55D64338">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2.最大蒲氏风级不超过5级；</w:t>
            </w:r>
          </w:p>
          <w:p w14:paraId="08261406">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3.禁止夜航。</w:t>
            </w:r>
          </w:p>
        </w:tc>
      </w:tr>
    </w:tbl>
    <w:p w14:paraId="240AA304">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14:paraId="4F4C8065">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14:paraId="43251CAC">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14:paraId="3342C016">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2.证书情况</w:t>
      </w:r>
    </w:p>
    <w:tbl>
      <w:tblPr>
        <w:tblStyle w:val="16"/>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
        <w:gridCol w:w="1776"/>
        <w:gridCol w:w="1877"/>
        <w:gridCol w:w="2476"/>
        <w:gridCol w:w="2932"/>
        <w:gridCol w:w="234"/>
      </w:tblGrid>
      <w:tr w14:paraId="4568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909" w:type="dxa"/>
            <w:gridSpan w:val="2"/>
          </w:tcPr>
          <w:p w14:paraId="4338626A">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t>证书名称</w:t>
            </w:r>
          </w:p>
        </w:tc>
        <w:tc>
          <w:tcPr>
            <w:tcW w:w="1877" w:type="dxa"/>
          </w:tcPr>
          <w:p w14:paraId="16A1FDF1">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t>发证单位</w:t>
            </w:r>
          </w:p>
        </w:tc>
        <w:tc>
          <w:tcPr>
            <w:tcW w:w="2476" w:type="dxa"/>
          </w:tcPr>
          <w:p w14:paraId="3BA40BC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t>签发日期</w:t>
            </w:r>
          </w:p>
        </w:tc>
        <w:tc>
          <w:tcPr>
            <w:tcW w:w="3166" w:type="dxa"/>
            <w:gridSpan w:val="2"/>
          </w:tcPr>
          <w:p w14:paraId="6357464C">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vertAlign w:val="baseline"/>
                <w:lang w:val="en-US" w:eastAsia="zh-CN"/>
                <w14:textFill>
                  <w14:solidFill>
                    <w14:schemeClr w14:val="tx1"/>
                  </w14:solidFill>
                </w14:textFill>
              </w:rPr>
              <w:t>有效期</w:t>
            </w:r>
          </w:p>
        </w:tc>
      </w:tr>
      <w:tr w14:paraId="2AD9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9" w:type="dxa"/>
            <w:gridSpan w:val="2"/>
            <w:vAlign w:val="center"/>
          </w:tcPr>
          <w:p w14:paraId="7A74A2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船舶所有权登记证书</w:t>
            </w:r>
          </w:p>
        </w:tc>
        <w:tc>
          <w:tcPr>
            <w:tcW w:w="1877" w:type="dxa"/>
            <w:vAlign w:val="center"/>
          </w:tcPr>
          <w:p w14:paraId="6EA32E8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三亚海事局</w:t>
            </w:r>
          </w:p>
        </w:tc>
        <w:tc>
          <w:tcPr>
            <w:tcW w:w="2476" w:type="dxa"/>
            <w:shd w:val="clear" w:color="auto" w:fill="auto"/>
            <w:vAlign w:val="center"/>
          </w:tcPr>
          <w:p w14:paraId="416FD62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kern w:val="2"/>
                <w:sz w:val="28"/>
                <w:szCs w:val="28"/>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2024年9月6日</w:t>
            </w:r>
          </w:p>
        </w:tc>
        <w:tc>
          <w:tcPr>
            <w:tcW w:w="3166" w:type="dxa"/>
            <w:gridSpan w:val="2"/>
            <w:vAlign w:val="center"/>
          </w:tcPr>
          <w:p w14:paraId="2EB5702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w:t>
            </w:r>
          </w:p>
        </w:tc>
      </w:tr>
      <w:tr w14:paraId="0249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09" w:type="dxa"/>
            <w:gridSpan w:val="2"/>
            <w:vAlign w:val="center"/>
          </w:tcPr>
          <w:p w14:paraId="1C22E8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船舶国籍证书</w:t>
            </w:r>
          </w:p>
        </w:tc>
        <w:tc>
          <w:tcPr>
            <w:tcW w:w="1877" w:type="dxa"/>
            <w:vAlign w:val="center"/>
          </w:tcPr>
          <w:p w14:paraId="24099EA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三亚海事局</w:t>
            </w:r>
          </w:p>
        </w:tc>
        <w:tc>
          <w:tcPr>
            <w:tcW w:w="2476" w:type="dxa"/>
            <w:shd w:val="clear" w:color="auto" w:fill="auto"/>
            <w:vAlign w:val="center"/>
          </w:tcPr>
          <w:p w14:paraId="551A693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2024年9月6日</w:t>
            </w:r>
          </w:p>
        </w:tc>
        <w:tc>
          <w:tcPr>
            <w:tcW w:w="3166" w:type="dxa"/>
            <w:gridSpan w:val="2"/>
            <w:shd w:val="clear" w:color="auto" w:fill="auto"/>
            <w:vAlign w:val="center"/>
          </w:tcPr>
          <w:p w14:paraId="3E7862E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2026年1月17日</w:t>
            </w:r>
          </w:p>
        </w:tc>
      </w:tr>
      <w:tr w14:paraId="44FA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909" w:type="dxa"/>
            <w:gridSpan w:val="2"/>
            <w:shd w:val="clear" w:color="auto" w:fill="auto"/>
            <w:vAlign w:val="center"/>
          </w:tcPr>
          <w:p w14:paraId="374B29D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游艇适航证书</w:t>
            </w:r>
          </w:p>
        </w:tc>
        <w:tc>
          <w:tcPr>
            <w:tcW w:w="1877" w:type="dxa"/>
            <w:shd w:val="clear" w:color="auto" w:fill="auto"/>
            <w:vAlign w:val="center"/>
          </w:tcPr>
          <w:p w14:paraId="4DA7DC22">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中国船级社三亚办事处</w:t>
            </w:r>
          </w:p>
        </w:tc>
        <w:tc>
          <w:tcPr>
            <w:tcW w:w="2476" w:type="dxa"/>
            <w:shd w:val="clear" w:color="auto" w:fill="auto"/>
            <w:vAlign w:val="center"/>
          </w:tcPr>
          <w:p w14:paraId="69FE932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2024年10月28日</w:t>
            </w:r>
          </w:p>
        </w:tc>
        <w:tc>
          <w:tcPr>
            <w:tcW w:w="3166" w:type="dxa"/>
            <w:gridSpan w:val="2"/>
            <w:shd w:val="clear" w:color="auto" w:fill="auto"/>
            <w:vAlign w:val="center"/>
          </w:tcPr>
          <w:p w14:paraId="6B8F2C4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2026年1月17日</w:t>
            </w:r>
          </w:p>
        </w:tc>
      </w:tr>
      <w:tr w14:paraId="2963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09" w:type="dxa"/>
            <w:gridSpan w:val="2"/>
            <w:vAlign w:val="center"/>
          </w:tcPr>
          <w:p w14:paraId="311BA6F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海南省租赁游艇符合证明</w:t>
            </w:r>
          </w:p>
        </w:tc>
        <w:tc>
          <w:tcPr>
            <w:tcW w:w="1877" w:type="dxa"/>
            <w:vAlign w:val="center"/>
          </w:tcPr>
          <w:p w14:paraId="16CA4C4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中国船级社海南分社</w:t>
            </w:r>
          </w:p>
        </w:tc>
        <w:tc>
          <w:tcPr>
            <w:tcW w:w="2476" w:type="dxa"/>
            <w:vAlign w:val="center"/>
          </w:tcPr>
          <w:p w14:paraId="7230AB5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2022年12月28日</w:t>
            </w:r>
          </w:p>
        </w:tc>
        <w:tc>
          <w:tcPr>
            <w:tcW w:w="3166" w:type="dxa"/>
            <w:gridSpan w:val="2"/>
            <w:vAlign w:val="center"/>
          </w:tcPr>
          <w:p w14:paraId="161FFB9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当发生下列情况之一时，本符合证明自行失效：</w:t>
            </w:r>
          </w:p>
          <w:p w14:paraId="62911EA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（1）《游艇适航证书》失效时；</w:t>
            </w:r>
          </w:p>
          <w:p w14:paraId="3F24276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（2）未按照《海南省租赁游艇检验暂行规定》进行年度检验时。</w:t>
            </w:r>
          </w:p>
        </w:tc>
      </w:tr>
      <w:tr w14:paraId="044C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9428" w:type="dxa"/>
            <w:gridSpan w:val="6"/>
            <w:vAlign w:val="center"/>
          </w:tcPr>
          <w:p w14:paraId="1A08043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海南省租赁游艇符合证明年度检验情况：</w:t>
            </w:r>
          </w:p>
          <w:p w14:paraId="1F213C9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序号1:2022年12月28日，</w:t>
            </w:r>
            <w:r>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t>《海南省租赁游艇检验暂行规定》规定的初次检验已完成，下次年度检验应在2023年12月27日前三个月内进行。</w:t>
            </w:r>
          </w:p>
          <w:p w14:paraId="056824F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序号2:2024年1月4日，《海南省租赁游艇检验暂行规定》规定的年度检验已完成，下次年度检验应在2025年1月17日前三个月内进行。</w:t>
            </w:r>
          </w:p>
          <w:p w14:paraId="09D816A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仿宋_GB2312" w:hAnsi="仿宋_GB2312" w:eastAsia="仿宋_GB2312" w:cs="仿宋_GB2312"/>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vertAlign w:val="baseline"/>
                <w:lang w:val="en-US" w:eastAsia="zh-CN"/>
                <w14:textFill>
                  <w14:solidFill>
                    <w14:schemeClr w14:val="tx1"/>
                  </w14:solidFill>
                </w14:textFill>
              </w:rPr>
              <w:t>序号3:2024年12月27日，《海南省租赁游艇检验暂行规定》规定的年度检验已完成，下次年度检验应在2026年1月17日前三个月内进行。</w:t>
            </w:r>
          </w:p>
        </w:tc>
      </w:tr>
      <w:tr w14:paraId="3984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33" w:type="dxa"/>
          <w:wAfter w:w="234" w:type="dxa"/>
          <w:trHeight w:val="4508" w:hRule="atLeast"/>
          <w:jc w:val="center"/>
        </w:trPr>
        <w:tc>
          <w:tcPr>
            <w:tcW w:w="9061" w:type="dxa"/>
            <w:gridSpan w:val="4"/>
            <w:tcBorders>
              <w:tl2br w:val="nil"/>
              <w:tr2bl w:val="nil"/>
            </w:tcBorders>
            <w:vAlign w:val="top"/>
          </w:tcPr>
          <w:p w14:paraId="3CF74B97">
            <w:pPr>
              <w:keepNext w:val="0"/>
              <w:keepLines w:val="0"/>
              <w:pageBreakBefore w:val="0"/>
              <w:widowControl w:val="0"/>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90820" cy="2480310"/>
                  <wp:effectExtent l="9525" t="9525" r="14605" b="24765"/>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8"/>
                          <a:srcRect l="318" b="7814"/>
                          <a:stretch>
                            <a:fillRect/>
                          </a:stretch>
                        </pic:blipFill>
                        <pic:spPr>
                          <a:xfrm>
                            <a:off x="0" y="0"/>
                            <a:ext cx="5290820" cy="2480310"/>
                          </a:xfrm>
                          <a:prstGeom prst="rect">
                            <a:avLst/>
                          </a:prstGeom>
                          <a:noFill/>
                          <a:ln>
                            <a:solidFill>
                              <a:schemeClr val="tx1"/>
                            </a:solidFill>
                          </a:ln>
                        </pic:spPr>
                      </pic:pic>
                    </a:graphicData>
                  </a:graphic>
                </wp:inline>
              </w:drawing>
            </w:r>
          </w:p>
          <w:p w14:paraId="459601FE">
            <w:pPr>
              <w:keepNext w:val="0"/>
              <w:keepLines w:val="0"/>
              <w:pageBreakBefore w:val="0"/>
              <w:widowControl w:val="0"/>
              <w:kinsoku/>
              <w:wordWrap/>
              <w:overflowPunct/>
              <w:topLinePunct w:val="0"/>
              <w:autoSpaceDE/>
              <w:autoSpaceDN/>
              <w:bidi w:val="0"/>
              <w:adjustRightInd/>
              <w:snapToGrid/>
              <w:jc w:val="center"/>
              <w:textAlignment w:val="auto"/>
              <w:rPr>
                <w:rFonts w:hint="default" w:eastAsiaTheme="minorEastAsia"/>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“子硕号”游艇（图片摘自游艇适航证书）</w:t>
            </w:r>
          </w:p>
        </w:tc>
      </w:tr>
    </w:tbl>
    <w:p w14:paraId="77AFB98E">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bookmarkStart w:id="2" w:name="_Toc9989"/>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3.监督检查情况</w:t>
      </w:r>
      <w:bookmarkEnd w:id="2"/>
    </w:p>
    <w:p w14:paraId="78140965">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3" w:name="_Toc3161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亚海事局港区海巡执法大队最近于2025年4月22日在三亚南边海国际游艇码头对“子硕号”游艇开展现场监督检查，未发现问题缺陷。“子硕号”游艇在事发时相关船舶登记、检验证书均在有效期内，未发现与本次事故直接相关联的适航缺陷。</w:t>
      </w:r>
      <w:bookmarkEnd w:id="3"/>
    </w:p>
    <w:p w14:paraId="51618C66">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4" w:name="_Toc14722"/>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4.配员持证情况</w:t>
      </w:r>
      <w:bookmarkEnd w:id="4"/>
    </w:p>
    <w:p w14:paraId="6069C389">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发时，“子硕号”游艇操作人员梁某，持有三亚海事局签发的A2F游艇驾驶证（有效期至2027年1月29日）以及海南自由贸易港租赁游艇操作人员特殊培训合格证明（有效期至2027年8月4日）；游艇工作人员吴某彪未参与游艇驾驶，无需持有任何适任证书。“子硕号”游艇配员持证情况满足《游艇安全管理规定》的要求。</w:t>
      </w:r>
    </w:p>
    <w:p w14:paraId="461FA1E0">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5" w:name="_Toc8099"/>
      <w:r>
        <w:rPr>
          <w:rFonts w:hint="eastAsia" w:ascii="楷体" w:hAnsi="楷体" w:eastAsia="楷体" w:cs="楷体"/>
          <w:b w:val="0"/>
          <w:bCs w:val="0"/>
          <w:color w:val="000000" w:themeColor="text1"/>
          <w:sz w:val="32"/>
          <w:szCs w:val="32"/>
          <w:lang w:val="en-US" w:eastAsia="zh-CN"/>
          <w14:textFill>
            <w14:solidFill>
              <w14:schemeClr w14:val="tx1"/>
            </w14:solidFill>
          </w14:textFill>
        </w:rPr>
        <w:t>（二）有关企业及人员情况</w:t>
      </w:r>
      <w:bookmarkEnd w:id="5"/>
    </w:p>
    <w:p w14:paraId="439B8881">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1.有关企业</w:t>
      </w:r>
    </w:p>
    <w:p w14:paraId="0C599540">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海畅商贸有限公司，系“子硕号”游艇的所有人与出租方（承租方为三亚艇浪漫商务服务有限公司）。公司统一社会信用代码91460000MA5TGMJJ6B，类型有限责任公司（自然人独资），成立日期2020年2月24日，注册资本壹佰万圆整，住所为海南省三亚市吉阳区吉阳大东海景区东海路5号商铺。公司经营范围涵盖：旅行社服务网点旅游招徕与咨询服务；会议及展览服务；休闲观光活动；票务代理服务；组织文化艺术交流活动；销售代理；寄卖服务；食用农产品批发；普通货物仓储服务（不含危险化学品等需许可审批的项目）；国际船舶代理及海洋服务；摄影扩印服务；个人商务服务；项目策划与公关服务；礼仪服务；餐饮管理；露营地服务；国内贸易代理；以及游艇租赁（除许可业务外，可自主依法经营法律法规未禁止或限制的项目）。</w:t>
      </w:r>
    </w:p>
    <w:p w14:paraId="371FC6F6">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三亚艇浪漫商务服务有限公司，系游艇接待服务协议甲方（乙方为海南百事通国际旅行社有限公司），亦是“子硕号”游艇的承租方（出租方为海畅商贸有限公司）。公司统一社会信用代码91460000MAA8YEJQX3，类型为有限责任公司（自然人投资或控股），成立日期2021年7月20日，注册资本壹佰万圆整，住所为海南省三亚市天涯区南边海路渔村五巷景山花园四号楼二单元502。公司经营范围：一般项目：游艇租赁；休闲娱乐用品设备出租；个人商务服务；国内贸易代理；日用百货销售；休闲观光活动；游艺及娱乐用品销售；娱乐船和运动船销售；信息咨询服务（不含许可类信息咨询服务）；组织文化艺术交流活动（除许可业务外，可自主依法经营法律法规非禁止或限制的项目）。</w:t>
      </w:r>
    </w:p>
    <w:p w14:paraId="132C37E4">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（3）海南百事通国际旅行社有限公司，系旅游服务乙方（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甲方为张某馨、王某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亦是游艇接待服务协议乙方（甲方为三亚艇浪漫商务服务有限公司）。公司统一社会信用代码9146000055735210X2，类型为有限责任公司（自然人投资或控股），成立日期2010年6月13日，住所为海口市龙华区海秀东路33号瑞宏大厦A2栋904。公司持有旅行社业务经营许可证（发证机关：海口市旅游和文化广电体育局；发证日期：2025年4月30日；许可文号：琼旅审批函〔2010〕30号，编号：L-HAN00276；许可经营业务：境内旅游业务、入境旅游业务）。</w:t>
      </w:r>
    </w:p>
    <w:p w14:paraId="00486DC0">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广州携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程国际旅行社有限公司，系本次事故中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旅游服务合同的丙方（代理社）（甲方为张某馨，乙方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（委托社）为海南百事通国际旅行社有限公司</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统一社会信用代码91440106751989497N，类型为有限责任公司（法人独资），成立日期2003年4月28日，注册资本300万元，注册地位于广州市番禺区南村镇汉溪大道东477号（477号塔楼）901房。公司经营范围：旅行社服务网点旅游招徕、咨询服务；旅客票务代理；票务代理服务；汽车租赁；会议及展览服务；信息咨询服务（不含许可类信息咨询服务）；市场营销策划；企业形象策划；项目策划与公关服务；广告设计、代理；广告制作；广告发布（非广播电台、电视台、报刊出版单位）；技术服务、技术开发、技术咨询、技术交流、技术转让、技术推广；摄影扩印服务；婚庆礼仪服务；食用农产品批发；劳动保护用品销售；食用农产品零售；服装服饰零售；鞋帽零售；针纺织品销售；化妆品零售；个人卫生用品销售；日用品销售；礼品花卉销售；箱包销售；文具用品零售；体育用品及器材零售；工艺美术品及收藏品零售（象牙及其制品除外）；第二类医疗器械销售；水产品零售；计算机软硬件及辅助设备零售；五金产品零售；卫生洁具销售；化工产品销售（不含许可类化工产品）；消毒剂销售（不含危险化学品）；旅游业务；保险兼业代理业务；广告发布（广播电台、电视台、报刊出版单位）；保健食品销售；酒类经营；食品经营（销售预包装食品）；食品互联网销售。</w:t>
      </w:r>
    </w:p>
    <w:p w14:paraId="638DBB3B">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2.有关人员</w:t>
      </w:r>
    </w:p>
    <w:p w14:paraId="69338D49">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，男，20岁，加拿大温哥华在读留学生，本次事故的2名落水人员之一，系事发后溺亡游客。</w:t>
      </w:r>
    </w:p>
    <w:p w14:paraId="4CC0B8E8">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王某</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女</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highlight w:val="none"/>
          <w14:textFill>
            <w14:solidFill>
              <w14:schemeClr w14:val="tx1"/>
            </w14:solidFill>
          </w14:textFill>
        </w:rPr>
        <w:t>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郑州财经学院在读学生，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本次事故的2名落水人员之一，事发后获救游客，与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本次事故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溺亡游客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张某馨结伴旅游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2488F4BD">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吴某彪</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，男，23岁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，事发时为“子硕号”游艇工作人员，工作职责为配合游艇操作员开展相关工作（如观察游客安全情况并及时做出提醒），事发后在游艇上参与了应急救援工作。</w:t>
      </w:r>
    </w:p>
    <w:p w14:paraId="21B9D826">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梁某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，男，26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岁，事发时为“子硕号”游艇工作人员（游艇操作员，持有A2F游艇驾驶证以及海南自由贸易港租赁游艇操作人员特殊培训合格证明，负责驾驶游艇），事发时证书在有效期内，事发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后在游艇上报告上级领导并报警、呼叫外部应急救援力量。</w:t>
      </w:r>
    </w:p>
    <w:p w14:paraId="2905328F">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郑某圣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，男，56岁，儋01.03114渔船渔民，本次事故溺亡游客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张某馨遗体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的第一发现人。</w:t>
      </w:r>
    </w:p>
    <w:p w14:paraId="3D7ED248">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张某友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，男，43岁，本次事故溺亡游客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的父亲，事发后接派出所电话赶来三亚处理后事。</w:t>
      </w:r>
    </w:p>
    <w:p w14:paraId="22814869">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3.相关服务协议合同情况</w:t>
      </w:r>
    </w:p>
    <w:p w14:paraId="0AA6E393">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海畅商贸有限公司（甲方游艇出租方）与三亚艇浪漫商务服务有限公司（乙方游艇承租方）于2025年1月1日签订《船舶租赁合同》（编号：202510101），合同约定主要内容有：（1）甲方向乙方租赁船名有“子硕号”（</w:t>
      </w:r>
      <w:r>
        <w:rPr>
          <w:rFonts w:hint="eastAsia" w:ascii="仿宋_GB2312" w:hAnsi="仿宋_GB2312" w:eastAsia="仿宋_GB2312" w:cs="仿宋_GB2312"/>
          <w:color w:val="000000" w:themeColor="text1"/>
          <w:sz w:val="32"/>
          <w:szCs w:val="32"/>
          <w:vertAlign w:val="baseline"/>
          <w:lang w:val="en-US" w:eastAsia="zh-CN"/>
          <w14:textFill>
            <w14:solidFill>
              <w14:schemeClr w14:val="tx1"/>
            </w14:solidFill>
          </w14:textFill>
        </w:rPr>
        <w:t>船舶识别号：CN20191801438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）、“海南商贸号”（</w:t>
      </w:r>
      <w:r>
        <w:rPr>
          <w:rFonts w:hint="eastAsia" w:ascii="仿宋_GB2312" w:hAnsi="仿宋_GB2312" w:eastAsia="仿宋_GB2312" w:cs="仿宋_GB2312"/>
          <w:color w:val="000000" w:themeColor="text1"/>
          <w:sz w:val="32"/>
          <w:szCs w:val="32"/>
          <w:vertAlign w:val="baseline"/>
          <w:lang w:val="en-US" w:eastAsia="zh-CN"/>
          <w14:textFill>
            <w14:solidFill>
              <w14:schemeClr w14:val="tx1"/>
            </w14:solidFill>
          </w14:textFill>
        </w:rPr>
        <w:t>船舶识别号：CN20216001249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），船舶核载10人（不含船舶工作人员）；（2）甲方承诺所租赁的船舶具备所有合法营运的资质及安全航行的设施设备；（3）租赁期限为三年，自2025年1月1日起至2028年12月31日止。</w:t>
      </w:r>
    </w:p>
    <w:p w14:paraId="15E57246">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亚艇浪漫商务服务有限公司（甲方）于2025年6月28日与海南百事通国际旅行社有限公司（乙方）签订《游艇接待服务协议书》，合同约定的主要内容有：（1）甲方为乙方提供游艇产品，乙方通过门店、网络、打包等方式进行推广销售；（2）接待过程中的跟踪服务由甲方全权负责，如出现人身意外安全事故等问题，甲方应全权负责处理至客户达成共识，如是乙方及客人责任，则甲乙双方共同处理，全力解决；（3）甲方应保证旅游者的安全，对于可能危及旅游者人身及财产安全的事项，应做出真实的说明和明确的警示，并采取必要措施防止危害发生和扩大；（4）合同有效期为一年，自2025年7月1日至2026年6月30日。如合同到期，双方无异议则本合同自动顺延一年，且协议条款同时自动生效。</w:t>
      </w:r>
    </w:p>
    <w:p w14:paraId="5A2E64D7">
      <w:pPr>
        <w:keepNext w:val="0"/>
        <w:keepLines w:val="0"/>
        <w:pageBreakBefore w:val="0"/>
        <w:widowControl w:val="0"/>
        <w:suppressLineNumbers w:val="0"/>
        <w:kinsoku/>
        <w:wordWrap w:val="0"/>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张某馨（甲方）于2025年7月10日与乙方（委托社）海南百事通国际旅行社有限公司</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，丙方（代理社）广州携程国际旅行社有限公司签订了三方《旅游服务合同》（合同编号：DZ112813969010024820250710），旅游服务（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北纬18°三亚定制旅行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）期间为2025年7月11日至7月15日，出发地与目的地均为三亚，人数为2成人，费用总计人民币8985元。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北纬18°三亚定制旅行方案中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12日（事发当日）行程具体包括有：景点三亚游艇旅游中心，建议游玩时间2小时～3小时，内容有：1.私家飞桥游艇3小时激情出海；2.摩托艇体验10分钟/艘；3.炫酷海天飞龙真人表演（欣赏）；4.海钓体验，专业工作人员教授海钓，不限鱼竿、鱼饵（含鱼饵、渔具）；5.徜徉天海间，感受大海的律动；6.免费提供矿泉水；7.免费提供欢迎饮料；8.免费提供当季时令水果果盘；9.游艇驾驶体验；10.免费更衣冲淡（建议自带浴巾）；11.全程资深船长和水手为您提供贴心服务。</w:t>
      </w:r>
    </w:p>
    <w:p w14:paraId="0D08F5D8">
      <w:pPr>
        <w:keepNext w:val="0"/>
        <w:keepLines w:val="0"/>
        <w:pageBreakBefore w:val="0"/>
        <w:widowControl w:val="0"/>
        <w:suppressLineNumbers w:val="0"/>
        <w:kinsoku/>
        <w:wordWrap w:val="0"/>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海畅商贸有限公司为“子硕号”游艇投保有《游艇保险保单》（保险单号：6203130020660240000004），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保险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费人民币2800元，保险期间自2024年12月26日00时起至2025年12月25日24时止。</w:t>
      </w:r>
    </w:p>
    <w:p w14:paraId="30756979">
      <w:pPr>
        <w:keepNext w:val="0"/>
        <w:keepLines w:val="0"/>
        <w:pageBreakBefore w:val="0"/>
        <w:widowControl w:val="0"/>
        <w:suppressLineNumbers w:val="0"/>
        <w:kinsoku/>
        <w:wordWrap w:val="0"/>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海南百事通国际旅行社有限公司投保有《旅行社责任保险统保示范项目保险单》（保险单号：11576003902770604632），保险费人民币5785.43元，保险期间自2025年1月1日00时起至2025年12月31日24时止。</w:t>
      </w:r>
    </w:p>
    <w:p w14:paraId="07DA6691">
      <w:pPr>
        <w:keepNext w:val="0"/>
        <w:keepLines w:val="0"/>
        <w:pageBreakBefore w:val="0"/>
        <w:widowControl w:val="0"/>
        <w:suppressLineNumbers w:val="0"/>
        <w:kinsoku/>
        <w:overflowPunct/>
        <w:topLinePunct w:val="0"/>
        <w:autoSpaceDE/>
        <w:autoSpaceDN/>
        <w:bidi w:val="0"/>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上述有关服务协议合同时间轴及相互关系如下所示：</w:t>
      </w:r>
    </w:p>
    <w:p w14:paraId="1FE02754">
      <w:pPr>
        <w:keepNext w:val="0"/>
        <w:keepLines w:val="0"/>
        <w:pageBreakBefore w:val="0"/>
        <w:widowControl w:val="0"/>
        <w:suppressLineNumbers w:val="0"/>
        <w:kinsoku/>
        <w:overflowPunct/>
        <w:topLinePunct w:val="0"/>
        <w:autoSpaceDE/>
        <w:autoSpaceDN/>
        <w:bidi w:val="0"/>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3BFDDAD">
      <w:pPr>
        <w:keepNext w:val="0"/>
        <w:keepLines w:val="0"/>
        <w:pageBreakBefore w:val="0"/>
        <w:widowControl w:val="0"/>
        <w:suppressLineNumbers w:val="0"/>
        <w:kinsoku/>
        <w:overflowPunct/>
        <w:topLinePunct w:val="0"/>
        <w:autoSpaceDE/>
        <w:autoSpaceDN/>
        <w:bidi w:val="0"/>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color w:val="000000" w:themeColor="text1"/>
          <w:sz w:val="32"/>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-826770</wp:posOffset>
                </wp:positionH>
                <wp:positionV relativeFrom="paragraph">
                  <wp:posOffset>46990</wp:posOffset>
                </wp:positionV>
                <wp:extent cx="7193915" cy="2360295"/>
                <wp:effectExtent l="6350" t="13335" r="10160" b="7620"/>
                <wp:wrapNone/>
                <wp:docPr id="16" name="组合 16"/>
                <wp:cNvGraphicFramePr/>
                <a:graphic xmlns:a="http://schemas.openxmlformats.org/drawingml/2006/main">
                  <a:graphicData uri="http://schemas.microsoft.com/office/word/2010/wordprocessingGroup">
                    <wpg:wgp>
                      <wpg:cNvGrpSpPr/>
                      <wpg:grpSpPr>
                        <a:xfrm>
                          <a:off x="0" y="0"/>
                          <a:ext cx="7193915" cy="2360295"/>
                          <a:chOff x="3318" y="165618"/>
                          <a:chExt cx="11329" cy="3717"/>
                        </a:xfrm>
                      </wpg:grpSpPr>
                      <wpg:grpSp>
                        <wpg:cNvPr id="11" name="组合 11"/>
                        <wpg:cNvGrpSpPr/>
                        <wpg:grpSpPr>
                          <a:xfrm>
                            <a:off x="3318" y="165618"/>
                            <a:ext cx="11329" cy="3717"/>
                            <a:chOff x="3318" y="165618"/>
                            <a:chExt cx="11329" cy="3717"/>
                          </a:xfrm>
                        </wpg:grpSpPr>
                        <wps:wsp>
                          <wps:cNvPr id="4" name="右箭头 4"/>
                          <wps:cNvSpPr/>
                          <wps:spPr>
                            <a:xfrm>
                              <a:off x="3318" y="165618"/>
                              <a:ext cx="11329" cy="450"/>
                            </a:xfrm>
                            <a:prstGeom prst="rightArrow">
                              <a:avLst>
                                <a:gd name="adj1" fmla="val 50000"/>
                                <a:gd name="adj2" fmla="val 61555"/>
                              </a:avLst>
                            </a:prstGeom>
                            <a:solidFill>
                              <a:schemeClr val="accent3">
                                <a:lumMod val="60000"/>
                                <a:lumOff val="40000"/>
                              </a:schemeClr>
                            </a:solidFill>
                            <a:ln>
                              <a:solidFill>
                                <a:schemeClr val="accent3"/>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线形标注 2 6"/>
                          <wps:cNvSpPr/>
                          <wps:spPr>
                            <a:xfrm>
                              <a:off x="3880" y="166274"/>
                              <a:ext cx="2202" cy="3061"/>
                            </a:xfrm>
                            <a:prstGeom prst="borderCallout2">
                              <a:avLst>
                                <a:gd name="adj1" fmla="val 18750"/>
                                <a:gd name="adj2" fmla="val -8333"/>
                                <a:gd name="adj3" fmla="val 18750"/>
                                <a:gd name="adj4" fmla="val -16667"/>
                                <a:gd name="adj5" fmla="val -11296"/>
                                <a:gd name="adj6" fmla="val -16690"/>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6948707">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2025年1月1日</w:t>
                                </w:r>
                              </w:p>
                              <w:p w14:paraId="0456F728">
                                <w:pPr>
                                  <w:jc w:val="both"/>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海畅商贸有限公司（出租方）与三亚艇浪漫商务服务有限公司（承租方）签订《船舶租赁合同》。</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线形标注 2 8"/>
                          <wps:cNvSpPr/>
                          <wps:spPr>
                            <a:xfrm>
                              <a:off x="6637" y="166274"/>
                              <a:ext cx="2202" cy="3061"/>
                            </a:xfrm>
                            <a:prstGeom prst="borderCallout2">
                              <a:avLst>
                                <a:gd name="adj1" fmla="val 18750"/>
                                <a:gd name="adj2" fmla="val -8333"/>
                                <a:gd name="adj3" fmla="val 18750"/>
                                <a:gd name="adj4" fmla="val -16667"/>
                                <a:gd name="adj5" fmla="val -11296"/>
                                <a:gd name="adj6" fmla="val -16690"/>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3E36278">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2025年6月28日</w:t>
                                </w:r>
                              </w:p>
                              <w:p w14:paraId="24AC7359">
                                <w:pPr>
                                  <w:jc w:val="both"/>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三亚艇浪漫商务服务有限公司（甲方）与海南百事通国际旅行社有限公司（乙方）签订《游艇接待服务协议书》。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线形标注 2 9"/>
                          <wps:cNvSpPr/>
                          <wps:spPr>
                            <a:xfrm>
                              <a:off x="9394" y="166274"/>
                              <a:ext cx="2202" cy="3061"/>
                            </a:xfrm>
                            <a:prstGeom prst="borderCallout2">
                              <a:avLst>
                                <a:gd name="adj1" fmla="val 18750"/>
                                <a:gd name="adj2" fmla="val -8333"/>
                                <a:gd name="adj3" fmla="val 18750"/>
                                <a:gd name="adj4" fmla="val -16667"/>
                                <a:gd name="adj5" fmla="val -11296"/>
                                <a:gd name="adj6" fmla="val -16690"/>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FB14210">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2025年7月10日</w:t>
                                </w:r>
                              </w:p>
                              <w:p w14:paraId="0A06A85C">
                                <w:pPr>
                                  <w:jc w:val="both"/>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张某馨（甲方）与海南百事通国际旅行社有限公司（乙方委托社）、广州携程国际旅行社有限公司（丙方代理社）签订三方《旅游服务合同》。</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线形标注 2 10"/>
                          <wps:cNvSpPr/>
                          <wps:spPr>
                            <a:xfrm>
                              <a:off x="12151" y="166274"/>
                              <a:ext cx="2202" cy="3061"/>
                            </a:xfrm>
                            <a:prstGeom prst="borderCallout2">
                              <a:avLst>
                                <a:gd name="adj1" fmla="val 18750"/>
                                <a:gd name="adj2" fmla="val -8333"/>
                                <a:gd name="adj3" fmla="val 18750"/>
                                <a:gd name="adj4" fmla="val -16667"/>
                                <a:gd name="adj5" fmla="val -11296"/>
                                <a:gd name="adj6" fmla="val -16690"/>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7413EF7">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2025年7月12日</w:t>
                                </w:r>
                              </w:p>
                              <w:p w14:paraId="65947490">
                                <w:pPr>
                                  <w:jc w:val="both"/>
                                  <w:rPr>
                                    <w:rFonts w:hint="default" w:ascii="仿宋_GB2312" w:hAnsi="仿宋_GB2312" w:eastAsia="仿宋_GB2312" w:cs="仿宋_GB2312"/>
                                    <w:color w:val="FF0000"/>
                                    <w:sz w:val="21"/>
                                    <w:szCs w:val="21"/>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张某馨乘坐“子硕号”游艇出海观光休闲活动中落水溺亡。</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2" name="椭圆 12"/>
                        <wps:cNvSpPr/>
                        <wps:spPr>
                          <a:xfrm>
                            <a:off x="3420" y="165718"/>
                            <a:ext cx="225" cy="247"/>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 name="椭圆 13"/>
                        <wps:cNvSpPr/>
                        <wps:spPr>
                          <a:xfrm>
                            <a:off x="6157" y="165716"/>
                            <a:ext cx="225" cy="247"/>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 name="椭圆 14"/>
                        <wps:cNvSpPr/>
                        <wps:spPr>
                          <a:xfrm>
                            <a:off x="8909" y="165724"/>
                            <a:ext cx="225" cy="247"/>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椭圆 15"/>
                        <wps:cNvSpPr/>
                        <wps:spPr>
                          <a:xfrm>
                            <a:off x="11669" y="165724"/>
                            <a:ext cx="225" cy="247"/>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65.1pt;margin-top:3.7pt;height:185.85pt;width:566.45pt;z-index:251659264;mso-width-relative:page;mso-height-relative:page;" coordorigin="3318,165618" coordsize="11329,3717" o:gfxdata="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">
                <o:lock v:ext="edit" aspectratio="f"/>
                <v:group id="_x0000_s1026" o:spid="_x0000_s1026" o:spt="203" style="position:absolute;left:3318;top:165618;height:3717;width:11329;" coordorigin="3318,165618" coordsize="11329,3717"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_x0000_s1026" o:spid="_x0000_s1026" o:spt="13" type="#_x0000_t13" style="position:absolute;left:3318;top:165618;height:450;width:11329;v-text-anchor:middle;" fillcolor="#FED961 [1942]" filled="t" stroked="t" coordsize="21600,21600" o:gfxdata="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Foa2vQAA&#10;ANoAAAAPAAAAAAAAAAEAIAAAACIAAABkcnMvZG93bnJldi54bWxQSwECFAAUAAAACACHTuJAMy8F&#10;njsAAAA5AAAAEAAAAAAAAAABACAAAAAMAQAAZHJzL3NoYXBleG1sLnhtbFBLBQYAAAAABgAGAFsB&#10;AAC2AwAAAAA=&#10;" adj="21072,5400">
                    <v:fill on="t" focussize="0,0"/>
                    <v:stroke weight="1pt" color="#F2BA02 [3206]" miterlimit="8" joinstyle="miter"/>
                    <v:imagedata o:title=""/>
                    <o:lock v:ext="edit" aspectratio="f"/>
                  </v:shape>
                  <v:shape id="_x0000_s1026" o:spid="_x0000_s1026" o:spt="48" type="#_x0000_t48" style="position:absolute;left:3880;top:166274;height:3061;width:2202;" filled="f" stroked="t" coordsize="21600,21600" o:gfxdata="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tWWe8AAAA&#10;2gAAAA8AAAAAAAAAAQAgAAAAIgAAAGRycy9kb3ducmV2LnhtbFBLAQIUABQAAAAIAIdO4kAzLwWe&#10;OwAAADkAAAAQAAAAAAAAAAEAIAAAAAsBAABkcnMvc2hhcGV4bWwueG1sUEsFBgAAAAAGAAYAWwEA&#10;ALUDAAAAAA==&#10;" adj="-3605,-2440,-3600,4050,-1800,4050">
                    <v:fill on="f" focussize="0,0"/>
                    <v:stroke weight="1pt" color="#000000 [3213]" miterlimit="8" joinstyle="miter"/>
                    <v:imagedata o:title=""/>
                    <o:lock v:ext="edit" aspectratio="f"/>
                    <v:textbox>
                      <w:txbxContent>
                        <w:p w14:paraId="66948707">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2025年1月1日</w:t>
                          </w:r>
                        </w:p>
                        <w:p w14:paraId="0456F728">
                          <w:pPr>
                            <w:jc w:val="both"/>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海畅商贸有限公司（出租方）与三亚艇浪漫商务服务有限公司（承租方）签订《船舶租赁合同》。</w:t>
                          </w:r>
                        </w:p>
                      </w:txbxContent>
                    </v:textbox>
                  </v:shape>
                  <v:shape id="_x0000_s1026" o:spid="_x0000_s1026" o:spt="48" type="#_x0000_t48" style="position:absolute;left:6637;top:166274;height:3061;width:2202;" filled="f" stroked="t" coordsize="21600,21600" o:gfxdata="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T5ojrgAAADaAAAA&#10;DwAAAAAAAAABACAAAAAiAAAAZHJzL2Rvd25yZXYueG1sUEsBAhQAFAAAAAgAh07iQDMvBZ47AAAA&#10;OQAAABAAAAAAAAAAAQAgAAAABwEAAGRycy9zaGFwZXhtbC54bWxQSwUGAAAAAAYABgBbAQAAsQMA&#10;AAAA&#10;" adj="-3605,-2440,-3600,4050,-1800,4050">
                    <v:fill on="f" focussize="0,0"/>
                    <v:stroke weight="1pt" color="#000000 [3213]" miterlimit="8" joinstyle="miter"/>
                    <v:imagedata o:title=""/>
                    <o:lock v:ext="edit" aspectratio="f"/>
                    <v:textbox>
                      <w:txbxContent>
                        <w:p w14:paraId="23E36278">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2025年6月28日</w:t>
                          </w:r>
                        </w:p>
                        <w:p w14:paraId="24AC7359">
                          <w:pPr>
                            <w:jc w:val="both"/>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三亚艇浪漫商务服务有限公司（甲方）与海南百事通国际旅行社有限公司（乙方）签订《游艇接待服务协议书》。</w:t>
                          </w:r>
                        </w:p>
                      </w:txbxContent>
                    </v:textbox>
                  </v:shape>
                  <v:shape id="_x0000_s1026" o:spid="_x0000_s1026" o:spt="48" type="#_x0000_t48" style="position:absolute;left:9394;top:166274;height:3061;width:2202;" filled="f" stroked="t" coordsize="21600,21600" o:gfxdata="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yzRW8AAAA&#10;2gAAAA8AAAAAAAAAAQAgAAAAIgAAAGRycy9kb3ducmV2LnhtbFBLAQIUABQAAAAIAIdO4kAzLwWe&#10;OwAAADkAAAAQAAAAAAAAAAEAIAAAAAsBAABkcnMvc2hhcGV4bWwueG1sUEsFBgAAAAAGAAYAWwEA&#10;ALUDAAAAAA==&#10;" adj="-3605,-2440,-3600,4050,-1800,4050">
                    <v:fill on="f" focussize="0,0"/>
                    <v:stroke weight="1pt" color="#000000 [3213]" miterlimit="8" joinstyle="miter"/>
                    <v:imagedata o:title=""/>
                    <o:lock v:ext="edit" aspectratio="f"/>
                    <v:textbox>
                      <w:txbxContent>
                        <w:p w14:paraId="7FB14210">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2025年7月10日</w:t>
                          </w:r>
                        </w:p>
                        <w:p w14:paraId="0A06A85C">
                          <w:pPr>
                            <w:jc w:val="both"/>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张某馨（甲方）与海南百事通国际旅行社有限公司（乙方委托社）、广州携程国际旅行社有限公司（丙方代理社）签订三方《旅游服务合同》。</w:t>
                          </w:r>
                        </w:p>
                      </w:txbxContent>
                    </v:textbox>
                  </v:shape>
                  <v:shape id="_x0000_s1026" o:spid="_x0000_s1026" o:spt="48" type="#_x0000_t48" style="position:absolute;left:12151;top:166274;height:3061;width:2202;" fillcolor="#FFFFFF [3212]" filled="t" stroked="t" coordsize="21600,21600" o:gfxdata="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veZmvQAA&#10;ANsAAAAPAAAAAAAAAAEAIAAAACIAAABkcnMvZG93bnJldi54bWxQSwECFAAUAAAACACHTuJAMy8F&#10;njsAAAA5AAAAEAAAAAAAAAABACAAAAAMAQAAZHJzL3NoYXBleG1sLnhtbFBLBQYAAAAABgAGAFsB&#10;AAC2AwAAAAA=&#10;" adj="-3605,-2440,-3600,4050,-1800,4050">
                    <v:fill on="t" focussize="0,0"/>
                    <v:stroke weight="1pt" color="#000000 [3213]" miterlimit="8" joinstyle="miter"/>
                    <v:imagedata o:title=""/>
                    <o:lock v:ext="edit" aspectratio="f"/>
                    <v:textbox>
                      <w:txbxContent>
                        <w:p w14:paraId="37413EF7">
                          <w:pPr>
                            <w:keepNext w:val="0"/>
                            <w:keepLines w:val="0"/>
                            <w:pageBreakBefore w:val="0"/>
                            <w:widowControl w:val="0"/>
                            <w:kinsoku/>
                            <w:wordWrap/>
                            <w:overflowPunct/>
                            <w:topLinePunct w:val="0"/>
                            <w:bidi w:val="0"/>
                            <w:adjustRightInd/>
                            <w:snapToGrid/>
                            <w:spacing w:before="0" w:beforeLines="50" w:after="0" w:afterLines="50"/>
                            <w:jc w:val="center"/>
                            <w:textAlignment w:val="auto"/>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2025年7月12日</w:t>
                          </w:r>
                        </w:p>
                        <w:p w14:paraId="65947490">
                          <w:pPr>
                            <w:jc w:val="both"/>
                            <w:rPr>
                              <w:rFonts w:hint="default" w:ascii="仿宋_GB2312" w:hAnsi="仿宋_GB2312" w:eastAsia="仿宋_GB2312" w:cs="仿宋_GB2312"/>
                              <w:color w:val="FF0000"/>
                              <w:sz w:val="21"/>
                              <w:szCs w:val="21"/>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张某馨乘坐“子硕号”游艇出海观光休闲活动中落水溺亡。</w:t>
                          </w:r>
                        </w:p>
                      </w:txbxContent>
                    </v:textbox>
                  </v:shape>
                </v:group>
                <v:shape id="_x0000_s1026" o:spid="_x0000_s1026" o:spt="3" type="#_x0000_t3" style="position:absolute;left:3420;top:165718;height:247;width:225;v-text-anchor:middle;" fillcolor="#4874CB [3204]" filled="t" stroked="t" coordsize="21600,21600" o:gfxdata="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596TS/&#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_x0000_s1026" o:spid="_x0000_s1026" o:spt="3" type="#_x0000_t3" style="position:absolute;left:6157;top:165716;height:247;width:225;v-text-anchor:middle;" fillcolor="#4874CB [3204]" filled="t" stroked="t" coordsize="21600,21600" o:gfxdata="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xTK+/&#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_x0000_s1026" o:spid="_x0000_s1026" o:spt="3" type="#_x0000_t3" style="position:absolute;left:8909;top:165724;height:247;width:225;v-text-anchor:middle;" fillcolor="#4874CB [3204]" filled="t" stroked="t" coordsize="21600,21600" o:gfxdata="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2NTb&#10;wAAAANsAAAAPAAAAAAAAAAEAIAAAACIAAABkcnMvZG93bnJldi54bWxQSwECFAAUAAAACACHTuJA&#10;My8FnjsAAAA5AAAAEAAAAAAAAAABACAAAAAPAQAAZHJzL3NoYXBleG1sLnhtbFBLBQYAAAAABgAG&#10;AFsBAAC5AwAAAAA=&#10;">
                  <v:fill on="t" focussize="0,0"/>
                  <v:stroke weight="1pt" color="#2E54A1 [2404]" miterlimit="8" joinstyle="miter"/>
                  <v:imagedata o:title=""/>
                  <o:lock v:ext="edit" aspectratio="f"/>
                </v:shape>
                <v:shape id="_x0000_s1026" o:spid="_x0000_s1026" o:spt="3" type="#_x0000_t3" style="position:absolute;left:11669;top:165724;height:247;width:225;v-text-anchor:middle;" fillcolor="#4874CB [3204]" filled="t" stroked="t" coordsize="21600,21600" o:gfxdata="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lHFAvQAA&#10;ANsAAAAPAAAAAAAAAAEAIAAAACIAAABkcnMvZG93bnJldi54bWxQSwECFAAUAAAACACHTuJAMy8F&#10;njsAAAA5AAAAEAAAAAAAAAABACAAAAAMAQAAZHJzL3NoYXBleG1sLnhtbFBLBQYAAAAABgAGAFsB&#10;AAC2AwAAAAA=&#10;">
                  <v:fill on="t" focussize="0,0"/>
                  <v:stroke weight="1pt" color="#2E54A1 [2404]" miterlimit="8" joinstyle="miter"/>
                  <v:imagedata o:title=""/>
                  <o:lock v:ext="edit" aspectratio="f"/>
                </v:shape>
              </v:group>
            </w:pict>
          </mc:Fallback>
        </mc:AlternateContent>
      </w:r>
    </w:p>
    <w:p w14:paraId="790A13CE">
      <w:pPr>
        <w:keepNext w:val="0"/>
        <w:keepLines w:val="0"/>
        <w:pageBreakBefore w:val="0"/>
        <w:widowControl w:val="0"/>
        <w:suppressLineNumbers w:val="0"/>
        <w:kinsoku/>
        <w:overflowPunct/>
        <w:topLinePunct w:val="0"/>
        <w:autoSpaceDE/>
        <w:autoSpaceDN/>
        <w:bidi w:val="0"/>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EABFDF1">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1C40354">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EBAB5A5">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FF7E8D0">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554B280">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800C845">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DF2BB73">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color w:val="000000" w:themeColor="text1"/>
          <w:sz w:val="21"/>
          <w14:textFill>
            <w14:solidFill>
              <w14:schemeClr w14:val="tx1"/>
            </w14:solidFill>
          </w14:textFill>
        </w:rPr>
        <mc:AlternateContent>
          <mc:Choice Requires="wpg">
            <w:drawing>
              <wp:anchor distT="0" distB="0" distL="114300" distR="114300" simplePos="0" relativeHeight="251662336" behindDoc="0" locked="0" layoutInCell="1" allowOverlap="1">
                <wp:simplePos x="0" y="0"/>
                <wp:positionH relativeFrom="column">
                  <wp:posOffset>-343535</wp:posOffset>
                </wp:positionH>
                <wp:positionV relativeFrom="paragraph">
                  <wp:posOffset>222885</wp:posOffset>
                </wp:positionV>
                <wp:extent cx="6236970" cy="2026285"/>
                <wp:effectExtent l="37465" t="6350" r="0" b="0"/>
                <wp:wrapNone/>
                <wp:docPr id="2" name="组合 2"/>
                <wp:cNvGraphicFramePr/>
                <a:graphic xmlns:a="http://schemas.openxmlformats.org/drawingml/2006/main">
                  <a:graphicData uri="http://schemas.microsoft.com/office/word/2010/wordprocessingGroup">
                    <wpg:wgp>
                      <wpg:cNvGrpSpPr/>
                      <wpg:grpSpPr>
                        <a:xfrm>
                          <a:off x="0" y="0"/>
                          <a:ext cx="6236970" cy="2026285"/>
                          <a:chOff x="4192" y="196609"/>
                          <a:chExt cx="9822" cy="3191"/>
                        </a:xfrm>
                      </wpg:grpSpPr>
                      <wpg:grpSp>
                        <wpg:cNvPr id="34" name="组合 34"/>
                        <wpg:cNvGrpSpPr/>
                        <wpg:grpSpPr>
                          <a:xfrm>
                            <a:off x="4192" y="196609"/>
                            <a:ext cx="9822" cy="3112"/>
                            <a:chOff x="3285" y="190775"/>
                            <a:chExt cx="9822" cy="3112"/>
                          </a:xfrm>
                        </wpg:grpSpPr>
                        <wpg:grpSp>
                          <wpg:cNvPr id="19" name="组合 19"/>
                          <wpg:cNvGrpSpPr/>
                          <wpg:grpSpPr>
                            <a:xfrm>
                              <a:off x="3285" y="190775"/>
                              <a:ext cx="9822" cy="3112"/>
                              <a:chOff x="3190" y="191064"/>
                              <a:chExt cx="9822" cy="3112"/>
                            </a:xfrm>
                          </wpg:grpSpPr>
                          <wpg:grpSp>
                            <wpg:cNvPr id="36" name="组合 36"/>
                            <wpg:cNvGrpSpPr/>
                            <wpg:grpSpPr>
                              <a:xfrm>
                                <a:off x="4115" y="191064"/>
                                <a:ext cx="8897" cy="3112"/>
                                <a:chOff x="3758" y="197457"/>
                                <a:chExt cx="8897" cy="3112"/>
                              </a:xfrm>
                            </wpg:grpSpPr>
                            <wps:wsp>
                              <wps:cNvPr id="27" name="文本框 27"/>
                              <wps:cNvSpPr txBox="1"/>
                              <wps:spPr>
                                <a:xfrm>
                                  <a:off x="6258" y="197855"/>
                                  <a:ext cx="2100" cy="75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178AD">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2025年7月10日</w:t>
                                    </w:r>
                                  </w:p>
                                  <w:p w14:paraId="359976BE">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rPr>
                                    </w:pPr>
                                    <w:r>
                                      <w:rPr>
                                        <w:rFonts w:hint="eastAsia" w:ascii="黑体" w:hAnsi="黑体" w:eastAsia="黑体" w:cs="黑体"/>
                                        <w:color w:val="000000" w:themeColor="text1"/>
                                        <w:sz w:val="21"/>
                                        <w:szCs w:val="21"/>
                                        <w:lang w:val="en-US" w:eastAsia="zh-CN"/>
                                        <w14:textFill>
                                          <w14:solidFill>
                                            <w14:schemeClr w14:val="tx1"/>
                                          </w14:solidFill>
                                        </w14:textFill>
                                      </w:rPr>
                                      <w:t>《旅游服务合同》</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6" name="组合 26"/>
                              <wpg:cNvGrpSpPr/>
                              <wpg:grpSpPr>
                                <a:xfrm>
                                  <a:off x="3758" y="197457"/>
                                  <a:ext cx="8299" cy="1402"/>
                                  <a:chOff x="4635" y="195672"/>
                                  <a:chExt cx="8299" cy="1402"/>
                                </a:xfrm>
                              </wpg:grpSpPr>
                              <wps:wsp>
                                <wps:cNvPr id="7" name="圆角矩形 7"/>
                                <wps:cNvSpPr/>
                                <wps:spPr>
                                  <a:xfrm>
                                    <a:off x="4635" y="196130"/>
                                    <a:ext cx="2266" cy="562"/>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C346523">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张某馨</w:t>
                                      </w:r>
                                      <w:r>
                                        <w:rPr>
                                          <w:rFonts w:hint="eastAsia" w:ascii="黑体" w:hAnsi="黑体" w:eastAsia="黑体" w:cs="黑体"/>
                                          <w:b/>
                                          <w:bCs/>
                                          <w:color w:val="000000" w:themeColor="text1"/>
                                          <w:sz w:val="21"/>
                                          <w:szCs w:val="21"/>
                                          <w:lang w:val="en-US" w:eastAsia="zh-CN"/>
                                          <w14:textFill>
                                            <w14:solidFill>
                                              <w14:schemeClr w14:val="tx1"/>
                                            </w14:solidFill>
                                          </w14:textFill>
                                        </w:rPr>
                                        <w:t>（游客）</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圆角矩形 18"/>
                                <wps:cNvSpPr/>
                                <wps:spPr>
                                  <a:xfrm>
                                    <a:off x="9533" y="196512"/>
                                    <a:ext cx="3388" cy="562"/>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577D95E">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海南百事通国际旅行社有限公司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圆角矩形 24"/>
                                <wps:cNvSpPr/>
                                <wps:spPr>
                                  <a:xfrm>
                                    <a:off x="9546" y="195672"/>
                                    <a:ext cx="3388" cy="562"/>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F3DECC6">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广州携程国际旅行社有限公司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28" name="圆角矩形 28"/>
                              <wps:cNvSpPr/>
                              <wps:spPr>
                                <a:xfrm>
                                  <a:off x="8672" y="200006"/>
                                  <a:ext cx="3398" cy="562"/>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BE1B53D">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三亚艇浪漫商务服务有限公司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9" name="肘形连接符 29"/>
                              <wps:cNvCnPr>
                                <a:endCxn id="18" idx="2"/>
                              </wps:cNvCnPr>
                              <wps:spPr>
                                <a:xfrm rot="16200000">
                                  <a:off x="9716" y="199360"/>
                                  <a:ext cx="1135" cy="132"/>
                                </a:xfrm>
                                <a:prstGeom prst="bentConnector3">
                                  <a:avLst>
                                    <a:gd name="adj1" fmla="val 50000"/>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 name="文本框 30"/>
                              <wps:cNvSpPr txBox="1"/>
                              <wps:spPr>
                                <a:xfrm>
                                  <a:off x="10053" y="199302"/>
                                  <a:ext cx="2602" cy="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C58D8">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2025年6月28日</w:t>
                                    </w:r>
                                  </w:p>
                                  <w:p w14:paraId="1FE8EF11">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rPr>
                                    </w:pPr>
                                    <w:r>
                                      <w:rPr>
                                        <w:rFonts w:hint="eastAsia" w:ascii="黑体" w:hAnsi="黑体" w:eastAsia="黑体" w:cs="黑体"/>
                                        <w:color w:val="000000" w:themeColor="text1"/>
                                        <w:sz w:val="21"/>
                                        <w:szCs w:val="21"/>
                                        <w:lang w:val="en-US" w:eastAsia="zh-CN"/>
                                        <w14:textFill>
                                          <w14:solidFill>
                                            <w14:schemeClr w14:val="tx1"/>
                                          </w14:solidFill>
                                        </w14:textFill>
                                      </w:rPr>
                                      <w:t>《游艇接待服务协议书》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圆角矩形 31"/>
                              <wps:cNvSpPr/>
                              <wps:spPr>
                                <a:xfrm>
                                  <a:off x="3798" y="200007"/>
                                  <a:ext cx="2702" cy="562"/>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57F2BB3">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海畅商贸有限公司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肘形连接符 32"/>
                              <wps:cNvCnPr>
                                <a:stCxn id="31" idx="3"/>
                                <a:endCxn id="28" idx="1"/>
                              </wps:cNvCnPr>
                              <wps:spPr>
                                <a:xfrm flipV="1">
                                  <a:off x="6500" y="200287"/>
                                  <a:ext cx="2172" cy="1"/>
                                </a:xfrm>
                                <a:prstGeom prst="bentConnector3">
                                  <a:avLst>
                                    <a:gd name="adj1" fmla="val 50000"/>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3" name="文本框 33"/>
                              <wps:cNvSpPr txBox="1"/>
                              <wps:spPr>
                                <a:xfrm>
                                  <a:off x="6198" y="199484"/>
                                  <a:ext cx="2662" cy="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F46F7">
                                    <w:pPr>
                                      <w:jc w:val="center"/>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2025年1月1日</w:t>
                                    </w:r>
                                  </w:p>
                                  <w:p w14:paraId="79CD5F38">
                                    <w:pPr>
                                      <w:jc w:val="center"/>
                                      <w:rPr>
                                        <w:rFonts w:hint="eastAsia" w:ascii="黑体" w:hAnsi="黑体" w:eastAsia="黑体" w:cs="黑体"/>
                                      </w:rPr>
                                    </w:pPr>
                                    <w:r>
                                      <w:rPr>
                                        <w:rFonts w:hint="eastAsia" w:ascii="黑体" w:hAnsi="黑体" w:eastAsia="黑体" w:cs="黑体"/>
                                        <w:color w:val="000000" w:themeColor="text1"/>
                                        <w:sz w:val="21"/>
                                        <w:szCs w:val="21"/>
                                        <w:lang w:val="en-US" w:eastAsia="zh-CN"/>
                                        <w14:textFill>
                                          <w14:solidFill>
                                            <w14:schemeClr w14:val="tx1"/>
                                          </w14:solidFill>
                                        </w14:textFill>
                                      </w:rPr>
                                      <w:t>《船舶租赁合同》</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7" name="下箭头 17"/>
                            <wps:cNvSpPr/>
                            <wps:spPr>
                              <a:xfrm>
                                <a:off x="3190" y="192113"/>
                                <a:ext cx="4181" cy="1477"/>
                              </a:xfrm>
                              <a:prstGeom prst="downArrow">
                                <a:avLst>
                                  <a:gd name="adj1" fmla="val 50000"/>
                                  <a:gd name="adj2" fmla="val 49085"/>
                                </a:avLst>
                              </a:prstGeom>
                              <a:solidFill>
                                <a:schemeClr val="accent3">
                                  <a:lumMod val="20000"/>
                                  <a:lumOff val="80000"/>
                                  <a:alpha val="62000"/>
                                </a:schemeClr>
                              </a:solidFill>
                              <a:ln>
                                <a:solidFill>
                                  <a:schemeClr val="tx1">
                                    <a:alpha val="31000"/>
                                  </a:schemeClr>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FBA1E1D">
                                  <w:pPr>
                                    <w:jc w:val="center"/>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2025年7月12日</w:t>
                                  </w:r>
                                </w:p>
                                <w:p w14:paraId="2A3B91E3">
                                  <w:pPr>
                                    <w:jc w:val="center"/>
                                    <w:rPr>
                                      <w:rFonts w:hint="default" w:eastAsiaTheme="minorEastAsia"/>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乘坐游艇出海观光休闲活动中溺亡</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25" name="肘形连接符 25"/>
                          <wps:cNvCnPr>
                            <a:endCxn id="24" idx="1"/>
                          </wps:cNvCnPr>
                          <wps:spPr>
                            <a:xfrm rot="16200000">
                              <a:off x="8697" y="191073"/>
                              <a:ext cx="441" cy="406"/>
                            </a:xfrm>
                            <a:prstGeom prst="bentConnector2">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s:wsp>
                        <wps:cNvPr id="37" name="文本框 37"/>
                        <wps:cNvSpPr txBox="1"/>
                        <wps:spPr>
                          <a:xfrm>
                            <a:off x="7745" y="199350"/>
                            <a:ext cx="789"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5C948">
                              <w:pPr>
                                <w:rPr>
                                  <w:rFonts w:hint="default" w:eastAsiaTheme="minorEastAsia"/>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甲方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文本框 40"/>
                        <wps:cNvSpPr txBox="1"/>
                        <wps:spPr>
                          <a:xfrm>
                            <a:off x="10939" y="198710"/>
                            <a:ext cx="789"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11401">
                              <w:pPr>
                                <w:rPr>
                                  <w:rFonts w:hint="default" w:eastAsiaTheme="minorEastAsia"/>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甲方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 name="文本框 41"/>
                        <wps:cNvSpPr txBox="1"/>
                        <wps:spPr>
                          <a:xfrm>
                            <a:off x="7253" y="197270"/>
                            <a:ext cx="789" cy="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A6D41">
                              <w:pPr>
                                <w:rPr>
                                  <w:rFonts w:hint="default" w:eastAsiaTheme="minorEastAsia"/>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甲方</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7.05pt;margin-top:17.55pt;height:159.55pt;width:491.1pt;z-index:251662336;mso-width-relative:page;mso-height-relative:page;" coordorigin="4192,196609" coordsize="9822,3191" o:gfxdata="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">
                <o:lock v:ext="edit" aspectratio="f"/>
                <v:group id="_x0000_s1026" o:spid="_x0000_s1026" o:spt="203" style="position:absolute;left:4192;top:196609;height:3112;width:9822;" coordorigin="3285,190775" coordsize="9822,3112"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285;top:190775;height:3112;width:9822;" coordorigin="3190,191064" coordsize="9822,3112"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4115;top:191064;height:3112;width:8897;" coordorigin="3758,197457" coordsize="8897,3112"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6258;top:197855;height:757;width:2100;" filled="f" stroked="f" coordsize="21600,21600" o:gfxdata="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EbS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1D178AD">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2025年7月10日</w:t>
                              </w:r>
                            </w:p>
                            <w:p w14:paraId="359976BE">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rPr>
                              </w:pPr>
                              <w:r>
                                <w:rPr>
                                  <w:rFonts w:hint="eastAsia" w:ascii="黑体" w:hAnsi="黑体" w:eastAsia="黑体" w:cs="黑体"/>
                                  <w:color w:val="000000" w:themeColor="text1"/>
                                  <w:sz w:val="21"/>
                                  <w:szCs w:val="21"/>
                                  <w:lang w:val="en-US" w:eastAsia="zh-CN"/>
                                  <w14:textFill>
                                    <w14:solidFill>
                                      <w14:schemeClr w14:val="tx1"/>
                                    </w14:solidFill>
                                  </w14:textFill>
                                </w:rPr>
                                <w:t>《旅游服务合同》</w:t>
                              </w:r>
                            </w:p>
                          </w:txbxContent>
                        </v:textbox>
                      </v:shape>
                      <v:group id="_x0000_s1026" o:spid="_x0000_s1026" o:spt="203" style="position:absolute;left:3758;top:197457;height:1402;width:8299;" coordorigin="4635,195672" coordsize="8299,1402"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oundrect id="_x0000_s1026" o:spid="_x0000_s1026" o:spt="2" style="position:absolute;left:4635;top:196130;height:562;width:2266;v-text-anchor:middle;" filled="f" stroked="t" coordsize="21600,21600" arcsize="0.166666666666667" o:gfxdata="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LG4u8AAAA&#10;2g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w:txbxContent>
                              <w:p w14:paraId="1C346523">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张某馨</w:t>
                                </w:r>
                                <w:r>
                                  <w:rPr>
                                    <w:rFonts w:hint="eastAsia" w:ascii="黑体" w:hAnsi="黑体" w:eastAsia="黑体" w:cs="黑体"/>
                                    <w:b/>
                                    <w:bCs/>
                                    <w:color w:val="000000" w:themeColor="text1"/>
                                    <w:sz w:val="21"/>
                                    <w:szCs w:val="21"/>
                                    <w:lang w:val="en-US" w:eastAsia="zh-CN"/>
                                    <w14:textFill>
                                      <w14:solidFill>
                                        <w14:schemeClr w14:val="tx1"/>
                                      </w14:solidFill>
                                    </w14:textFill>
                                  </w:rPr>
                                  <w:t>（游客）</w:t>
                                </w:r>
                              </w:p>
                            </w:txbxContent>
                          </v:textbox>
                        </v:roundrect>
                        <v:roundrect id="_x0000_s1026" o:spid="_x0000_s1026" o:spt="2" style="position:absolute;left:9533;top:196512;height:562;width:3388;v-text-anchor:middle;" filled="f" stroked="t" coordsize="21600,21600" arcsize="0.166666666666667" o:gfxdata="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2OSZ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textbox>
                            <w:txbxContent>
                              <w:p w14:paraId="7577D95E">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海南百事通国际旅行社有限公司</w:t>
                                </w:r>
                              </w:p>
                            </w:txbxContent>
                          </v:textbox>
                        </v:roundrect>
                        <v:roundrect id="_x0000_s1026" o:spid="_x0000_s1026" o:spt="2" style="position:absolute;left:9546;top:195672;height:562;width:3388;v-text-anchor:middle;" filled="f" stroked="t" coordsize="21600,21600" arcsize="0.166666666666667" o:gfxdata="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SQh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textbox>
                            <w:txbxContent>
                              <w:p w14:paraId="7F3DECC6">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广州携程国际旅行社有限公司</w:t>
                                </w:r>
                              </w:p>
                            </w:txbxContent>
                          </v:textbox>
                        </v:roundrect>
                      </v:group>
                      <v:roundrect id="_x0000_s1026" o:spid="_x0000_s1026" o:spt="2" style="position:absolute;left:8672;top:200006;height:562;width:3398;v-text-anchor:middle;" filled="f" stroked="t" coordsize="21600,21600" arcsize="0.166666666666667" o:gfxdata="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tC4kugAAANs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textbox>
                          <w:txbxContent>
                            <w:p w14:paraId="1BE1B53D">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三亚艇浪漫商务服务有限公司</w:t>
                              </w:r>
                            </w:p>
                          </w:txbxContent>
                        </v:textbox>
                      </v:roundrect>
                      <v:shape id="_x0000_s1026" o:spid="_x0000_s1026" o:spt="34" type="#_x0000_t34" style="position:absolute;left:9716;top:199360;height:132;width:1135;rotation:-5898240f;" filled="f" stroked="t" coordsize="21600,21600" o:gfxdata="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apNJL4A&#10;AADbAAAADwAAAAAAAAABACAAAAAiAAAAZHJzL2Rvd25yZXYueG1sUEsBAhQAFAAAAAgAh07iQDMv&#10;BZ47AAAAOQAAABAAAAAAAAAAAQAgAAAADQEAAGRycy9zaGFwZXhtbC54bWxQSwUGAAAAAAYABgBb&#10;AQAAtwMAAAAA&#10;" adj="10800">
                        <v:fill on="f" focussize="0,0"/>
                        <v:stroke weight="1pt" color="#000000 [3213]" miterlimit="8" joinstyle="miter" endarrow="open"/>
                        <v:imagedata o:title=""/>
                        <o:lock v:ext="edit" aspectratio="f"/>
                      </v:shape>
                      <v:shape id="_x0000_s1026" o:spid="_x0000_s1026" o:spt="202" type="#_x0000_t202" style="position:absolute;left:10053;top:199302;height:750;width:2602;" filled="f" stroked="f" coordsize="21600,21600" o:gfxdata="UEsDBAoAAAAAAIdO4kAAAAAAAAAAAAAAAAAEAAAAZHJzL1BLAwQUAAAACACHTuJAgJEV4LsAAADb&#10;AAAADwAAAGRycy9kb3ducmV2LnhtbEVPy4rCMBTdC/MP4Qqz09QO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EV4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0A8C58D8">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2025年6月28日</w:t>
                              </w:r>
                            </w:p>
                            <w:p w14:paraId="1FE8EF11">
                              <w:pPr>
                                <w:keepNext w:val="0"/>
                                <w:keepLines w:val="0"/>
                                <w:pageBreakBefore w:val="0"/>
                                <w:widowControl w:val="0"/>
                                <w:kinsoku/>
                                <w:wordWrap/>
                                <w:overflowPunct/>
                                <w:topLinePunct w:val="0"/>
                                <w:bidi w:val="0"/>
                                <w:adjustRightInd w:val="0"/>
                                <w:snapToGrid w:val="0"/>
                                <w:jc w:val="center"/>
                                <w:textAlignment w:val="auto"/>
                                <w:rPr>
                                  <w:rFonts w:hint="eastAsia" w:ascii="黑体" w:hAnsi="黑体" w:eastAsia="黑体" w:cs="黑体"/>
                                </w:rPr>
                              </w:pPr>
                              <w:r>
                                <w:rPr>
                                  <w:rFonts w:hint="eastAsia" w:ascii="黑体" w:hAnsi="黑体" w:eastAsia="黑体" w:cs="黑体"/>
                                  <w:color w:val="000000" w:themeColor="text1"/>
                                  <w:sz w:val="21"/>
                                  <w:szCs w:val="21"/>
                                  <w:lang w:val="en-US" w:eastAsia="zh-CN"/>
                                  <w14:textFill>
                                    <w14:solidFill>
                                      <w14:schemeClr w14:val="tx1"/>
                                    </w14:solidFill>
                                  </w14:textFill>
                                </w:rPr>
                                <w:t>《游艇接待服务协议书》</w:t>
                              </w:r>
                            </w:p>
                          </w:txbxContent>
                        </v:textbox>
                      </v:shape>
                      <v:roundrect id="_x0000_s1026" o:spid="_x0000_s1026" o:spt="2" style="position:absolute;left:3798;top:200007;height:562;width:2702;v-text-anchor:middle;" filled="f" stroked="t" coordsize="21600,21600" arcsize="0.166666666666667" o:gfxdata="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VxFk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textbox>
                          <w:txbxContent>
                            <w:p w14:paraId="257F2BB3">
                              <w:pPr>
                                <w:jc w:val="center"/>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海畅商贸有限公司</w:t>
                              </w:r>
                            </w:p>
                          </w:txbxContent>
                        </v:textbox>
                      </v:roundrect>
                      <v:shape id="_x0000_s1026" o:spid="_x0000_s1026" o:spt="34" type="#_x0000_t34" style="position:absolute;left:6500;top:200287;flip:y;height:1;width:2172;" filled="f" stroked="t" coordsize="21600,21600" o:gfxdata="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tnIZr4A&#10;AADbAAAADwAAAAAAAAABACAAAAAiAAAAZHJzL2Rvd25yZXYueG1sUEsBAhQAFAAAAAgAh07iQDMv&#10;BZ47AAAAOQAAABAAAAAAAAAAAQAgAAAADQEAAGRycy9zaGFwZXhtbC54bWxQSwUGAAAAAAYABgBb&#10;AQAAtwMAAAAA&#10;" adj="10800">
                        <v:fill on="f" focussize="0,0"/>
                        <v:stroke weight="1pt" color="#000000 [3213]" miterlimit="8" joinstyle="miter" endarrow="open"/>
                        <v:imagedata o:title=""/>
                        <o:lock v:ext="edit" aspectratio="f"/>
                      </v:shape>
                      <v:shape id="_x0000_s1026" o:spid="_x0000_s1026" o:spt="202" type="#_x0000_t202" style="position:absolute;left:6198;top:199484;height:735;width:2662;" filled="f" stroked="f" coordsize="21600,21600" o:gfxdata="UEsDBAoAAAAAAIdO4kAAAAAAAAAAAAAAAAAEAAAAZHJzL1BLAwQUAAAACACHTuJAcEOLl70AAADb&#10;AAAADwAAAGRycy9kb3ducmV2LnhtbEWPS6vCMBSE94L/IRzBnaYq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Q4uX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0BF46F7">
                              <w:pPr>
                                <w:jc w:val="center"/>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2025年1月1日</w:t>
                              </w:r>
                            </w:p>
                            <w:p w14:paraId="79CD5F38">
                              <w:pPr>
                                <w:jc w:val="center"/>
                                <w:rPr>
                                  <w:rFonts w:hint="eastAsia" w:ascii="黑体" w:hAnsi="黑体" w:eastAsia="黑体" w:cs="黑体"/>
                                </w:rPr>
                              </w:pPr>
                              <w:r>
                                <w:rPr>
                                  <w:rFonts w:hint="eastAsia" w:ascii="黑体" w:hAnsi="黑体" w:eastAsia="黑体" w:cs="黑体"/>
                                  <w:color w:val="000000" w:themeColor="text1"/>
                                  <w:sz w:val="21"/>
                                  <w:szCs w:val="21"/>
                                  <w:lang w:val="en-US" w:eastAsia="zh-CN"/>
                                  <w14:textFill>
                                    <w14:solidFill>
                                      <w14:schemeClr w14:val="tx1"/>
                                    </w14:solidFill>
                                  </w14:textFill>
                                </w:rPr>
                                <w:t>《船舶租赁合同》</w:t>
                              </w:r>
                            </w:p>
                          </w:txbxContent>
                        </v:textbox>
                      </v:shape>
                    </v:group>
                    <v:shape id="_x0000_s1026" o:spid="_x0000_s1026" o:spt="67" type="#_x0000_t67" style="position:absolute;left:3190;top:192113;height:1477;width:4181;v-text-anchor:middle;" fillcolor="#FFF2CA [662]" filled="t" stroked="t" coordsize="21600,21600" o:gfxdata="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GTzpvQAA&#10;ANsAAAAPAAAAAAAAAAEAIAAAACIAAABkcnMvZG93bnJldi54bWxQSwECFAAUAAAACACHTuJAMy8F&#10;njsAAAA5AAAAEAAAAAAAAAABACAAAAAMAQAAZHJzL3NoYXBleG1sLnhtbFBLBQYAAAAABgAGAFsB&#10;AAC2AwAAAAA=&#10;" adj="10998,5400">
                      <v:fill on="t" opacity="40632f" focussize="0,0"/>
                      <v:stroke weight="1pt" color="#000000 [3213]" opacity="20316f" miterlimit="8" joinstyle="miter"/>
                      <v:imagedata o:title=""/>
                      <o:lock v:ext="edit" aspectratio="f"/>
                      <v:textbox>
                        <w:txbxContent>
                          <w:p w14:paraId="2FBA1E1D">
                            <w:pPr>
                              <w:jc w:val="center"/>
                              <w:rPr>
                                <w:rFonts w:hint="eastAsia"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2025年7月12日</w:t>
                            </w:r>
                          </w:p>
                          <w:p w14:paraId="2A3B91E3">
                            <w:pPr>
                              <w:jc w:val="center"/>
                              <w:rPr>
                                <w:rFonts w:hint="default" w:eastAsiaTheme="minorEastAsia"/>
                                <w:color w:val="000000" w:themeColor="text1"/>
                                <w:lang w:val="en-US" w:eastAsia="zh-CN"/>
                                <w14:textFill>
                                  <w14:solidFill>
                                    <w14:schemeClr w14:val="tx1"/>
                                  </w14:solidFill>
                                </w14:textFill>
                              </w:rPr>
                            </w:pPr>
                            <w:r>
                              <w:rPr>
                                <w:rFonts w:hint="eastAsia" w:ascii="黑体" w:hAnsi="黑体" w:eastAsia="黑体" w:cs="黑体"/>
                                <w:color w:val="000000" w:themeColor="text1"/>
                                <w:sz w:val="21"/>
                                <w:szCs w:val="21"/>
                                <w:lang w:val="en-US" w:eastAsia="zh-CN"/>
                                <w14:textFill>
                                  <w14:solidFill>
                                    <w14:schemeClr w14:val="tx1"/>
                                  </w14:solidFill>
                                </w14:textFill>
                              </w:rPr>
                              <w:t>乘坐游艇出海观光休闲活动中溺亡</w:t>
                            </w:r>
                          </w:p>
                        </w:txbxContent>
                      </v:textbox>
                    </v:shape>
                  </v:group>
                  <v:shape id="_x0000_s1026" o:spid="_x0000_s1026" o:spt="33" type="#_x0000_t33" style="position:absolute;left:8697;top:191073;height:406;width:441;rotation:-5898240f;" filled="f" stroked="t" coordsize="21600,21600" o:gfxdata="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v29r4A&#10;AADbAAAADwAAAAAAAAABACAAAAAiAAAAZHJzL2Rvd25yZXYueG1sUEsBAhQAFAAAAAgAh07iQDMv&#10;BZ47AAAAOQAAABAAAAAAAAAAAQAgAAAADQEAAGRycy9zaGFwZXhtbC54bWxQSwUGAAAAAAYABgBb&#10;AQAAtwMAAAAA&#10;">
                    <v:fill on="f" focussize="0,0"/>
                    <v:stroke weight="1pt" color="#000000 [3213]" miterlimit="8" joinstyle="miter" endarrow="open"/>
                    <v:imagedata o:title=""/>
                    <o:lock v:ext="edit" aspectratio="f"/>
                  </v:shape>
                </v:group>
                <v:shape id="_x0000_s1026" o:spid="_x0000_s1026" o:spt="202" type="#_x0000_t202" style="position:absolute;left:7745;top:199350;height:450;width:789;" filled="f" stroked="f" coordsize="21600,21600" o:gfxdata="UEsDBAoAAAAAAIdO4kAAAAAAAAAAAAAAAAAEAAAAZHJzL1BLAwQUAAAACACHTuJAD3iNlL4AAADb&#10;AAAADwAAAGRycy9kb3ducmV2LnhtbEWPT4vCMBTE78J+h/AWvGmqol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3iNl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715C948">
                        <w:pPr>
                          <w:rPr>
                            <w:rFonts w:hint="default" w:eastAsiaTheme="minorEastAsia"/>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甲方</w:t>
                        </w:r>
                      </w:p>
                    </w:txbxContent>
                  </v:textbox>
                </v:shape>
                <v:shape id="_x0000_s1026" o:spid="_x0000_s1026" o:spt="202" type="#_x0000_t202" style="position:absolute;left:10939;top:198710;height:450;width:789;" filled="f" stroked="f" coordsize="21600,21600" o:gfxdata="UEsDBAoAAAAAAIdO4kAAAAAAAAAAAAAAAAAEAAAAZHJzL1BLAwQUAAAACACHTuJA2JdmnbsAAADb&#10;AAAADwAAAGRycy9kb3ducmV2LnhtbEVPy4rCMBTdC/MP4Qqz09Qy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dmnb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22511401">
                        <w:pPr>
                          <w:rPr>
                            <w:rFonts w:hint="default" w:eastAsiaTheme="minorEastAsia"/>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甲方</w:t>
                        </w:r>
                      </w:p>
                    </w:txbxContent>
                  </v:textbox>
                </v:shape>
                <v:shape id="_x0000_s1026" o:spid="_x0000_s1026" o:spt="202" type="#_x0000_t202" style="position:absolute;left:7253;top:197270;height:450;width:789;" filled="f" stroked="f" coordsize="21600,21600" o:gfxdata="UEsDBAoAAAAAAIdO4kAAAAAAAAAAAAAAAAAEAAAAZHJzL1BLAwQUAAAACACHTuJAt9vDBr4AAADb&#10;AAAADwAAAGRycy9kb3ducmV2LnhtbEWPS4vCQBCE74L/YWjBm04iKp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vDB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58A6D41">
                        <w:pPr>
                          <w:rPr>
                            <w:rFonts w:hint="default" w:eastAsiaTheme="minorEastAsia"/>
                            <w:lang w:val="en-US" w:eastAsia="zh-CN"/>
                          </w:rPr>
                        </w:pPr>
                        <w:r>
                          <w:rPr>
                            <w:rFonts w:hint="eastAsia" w:ascii="黑体" w:hAnsi="黑体" w:eastAsia="黑体" w:cs="黑体"/>
                            <w:color w:val="000000" w:themeColor="text1"/>
                            <w:sz w:val="21"/>
                            <w:szCs w:val="21"/>
                            <w:lang w:val="en-US" w:eastAsia="zh-CN"/>
                            <w14:textFill>
                              <w14:solidFill>
                                <w14:schemeClr w14:val="tx1"/>
                              </w14:solidFill>
                            </w14:textFill>
                          </w:rPr>
                          <w:t>甲方</w:t>
                        </w:r>
                      </w:p>
                    </w:txbxContent>
                  </v:textbox>
                </v:shape>
              </v:group>
            </w:pict>
          </mc:Fallback>
        </mc:AlternateContent>
      </w:r>
    </w:p>
    <w:p w14:paraId="1560FA4F">
      <w:pPr>
        <w:keepNext w:val="0"/>
        <w:keepLines w:val="0"/>
        <w:pageBreakBefore w:val="0"/>
        <w:widowControl w:val="0"/>
        <w:suppressLineNumbers w:val="0"/>
        <w:kinsoku/>
        <w:overflowPunct/>
        <w:topLinePunct w:val="0"/>
        <w:autoSpaceDE/>
        <w:autoSpaceDN/>
        <w:bidi w:val="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DE83A97">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58F7A96">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81C8E0C">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1701165</wp:posOffset>
                </wp:positionH>
                <wp:positionV relativeFrom="paragraph">
                  <wp:posOffset>-894715</wp:posOffset>
                </wp:positionV>
                <wp:extent cx="1652905" cy="244475"/>
                <wp:effectExtent l="0" t="6350" r="4445" b="53975"/>
                <wp:wrapNone/>
                <wp:docPr id="38" name="肘形连接符 38"/>
                <wp:cNvGraphicFramePr/>
                <a:graphic xmlns:a="http://schemas.openxmlformats.org/drawingml/2006/main">
                  <a:graphicData uri="http://schemas.microsoft.com/office/word/2010/wordprocessingShape">
                    <wps:wsp>
                      <wps:cNvCnPr>
                        <a:endCxn id="18" idx="1"/>
                      </wps:cNvCnPr>
                      <wps:spPr>
                        <a:xfrm>
                          <a:off x="0" y="0"/>
                          <a:ext cx="1652905" cy="244475"/>
                        </a:xfrm>
                        <a:prstGeom prst="bentConnector3">
                          <a:avLst>
                            <a:gd name="adj1" fmla="val 85439"/>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133.95pt;margin-top:-70.45pt;height:19.25pt;width:130.15pt;z-index:251661312;mso-width-relative:page;mso-height-relative:page;" filled="f" stroked="t" coordsize="21600,21600" o:gfxdata="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MHUwtkAAAANAQAADwAAAAAAAAABACAAAAAiAAAAZHJzL2Rvd25yZXYueG1sUEsBAhQA&#10;FAAAAAgAh07iQEBCfccqAgAAMQQAAA4AAAAAAAAAAQAgAAAAKAEAAGRycy9lMm9Eb2MueG1sUEsF&#10;BgAAAAAGAAYAWQEAAMQFAAAAAA==&#10;" adj="18455">
                <v:fill on="f" focussize="0,0"/>
                <v:stroke weight="1pt" color="#000000 [3213]" miterlimit="8" joinstyle="miter" endarrow="open"/>
                <v:imagedata o:title=""/>
                <o:lock v:ext="edit" aspectratio="f"/>
              </v:shape>
            </w:pict>
          </mc:Fallback>
        </mc:AlternateContent>
      </w:r>
    </w:p>
    <w:p w14:paraId="2079F9A3">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bookmarkStart w:id="6" w:name="_Toc32503"/>
    </w:p>
    <w:p w14:paraId="0A85E48A">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（三）事故水域气象海况及通航环境</w:t>
      </w:r>
      <w:bookmarkEnd w:id="6"/>
    </w:p>
    <w:p w14:paraId="11F8DDCF">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1.事故位置</w:t>
      </w:r>
    </w:p>
    <w:p w14:paraId="288EDFA1">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事发水域为三亚港游艇集中锚泊开展旅游经营活动水域（非海水浴场公共休闲场所），通航密度较大。事发时“子硕号”游艇锚泊于三亚港3号标航道外，处于游艇停泊与休闲观光活动期间，未与其他船舶有相互干扰和影响。结合相关航海工作日志、视频监控比对，事故发生位置在三亚港3号航道标海域附近（概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18°13′7102″N/109°28′6668″E</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1"/>
      </w:tblGrid>
      <w:tr w14:paraId="0F3E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1" w:type="dxa"/>
            <w:tcBorders>
              <w:tl2br w:val="nil"/>
              <w:tr2bl w:val="nil"/>
            </w:tcBorders>
            <w:vAlign w:val="top"/>
          </w:tcPr>
          <w:p w14:paraId="02BCA9BC">
            <w:pPr>
              <w:keepNext w:val="0"/>
              <w:keepLines w:val="0"/>
              <w:pageBreakBefore w:val="0"/>
              <w:widowControl w:val="0"/>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4840605" cy="3032125"/>
                  <wp:effectExtent l="0" t="0" r="17145" b="15875"/>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9"/>
                          <a:srcRect l="8815" t="14616" r="7845" b="8417"/>
                          <a:stretch>
                            <a:fillRect/>
                          </a:stretch>
                        </pic:blipFill>
                        <pic:spPr>
                          <a:xfrm>
                            <a:off x="0" y="0"/>
                            <a:ext cx="4840605" cy="3032125"/>
                          </a:xfrm>
                          <a:prstGeom prst="rect">
                            <a:avLst/>
                          </a:prstGeom>
                          <a:noFill/>
                          <a:ln>
                            <a:noFill/>
                          </a:ln>
                        </pic:spPr>
                      </pic:pic>
                    </a:graphicData>
                  </a:graphic>
                </wp:inline>
              </w:drawing>
            </w:r>
          </w:p>
          <w:p w14:paraId="47A3C362">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3号航道标事故位置（事后勘测）</w:t>
            </w:r>
          </w:p>
          <w:p w14:paraId="0FA28AF0">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1034415</wp:posOffset>
                      </wp:positionH>
                      <wp:positionV relativeFrom="paragraph">
                        <wp:posOffset>674370</wp:posOffset>
                      </wp:positionV>
                      <wp:extent cx="1266825" cy="400050"/>
                      <wp:effectExtent l="6350" t="6350" r="12700" b="269875"/>
                      <wp:wrapNone/>
                      <wp:docPr id="5" name="圆角矩形标注 5"/>
                      <wp:cNvGraphicFramePr/>
                      <a:graphic xmlns:a="http://schemas.openxmlformats.org/drawingml/2006/main">
                        <a:graphicData uri="http://schemas.microsoft.com/office/word/2010/wordprocessingShape">
                          <wps:wsp>
                            <wps:cNvSpPr/>
                            <wps:spPr>
                              <a:xfrm>
                                <a:off x="2015490" y="4166870"/>
                                <a:ext cx="1266825" cy="400050"/>
                              </a:xfrm>
                              <a:prstGeom prst="wedgeRoundRectCallout">
                                <a:avLst>
                                  <a:gd name="adj1" fmla="val 28997"/>
                                  <a:gd name="adj2" fmla="val 113015"/>
                                  <a:gd name="adj3" fmla="val 16667"/>
                                </a:avLst>
                              </a:prstGeom>
                              <a:solidFill>
                                <a:schemeClr val="accent1">
                                  <a:alpha val="49000"/>
                                </a:schemeClr>
                              </a:solid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2D830AB">
                                  <w:pPr>
                                    <w:jc w:val="center"/>
                                    <w:rPr>
                                      <w:rFonts w:hint="eastAsia" w:ascii="仿宋_GB2312" w:hAnsi="仿宋_GB2312" w:eastAsia="仿宋_GB2312" w:cs="仿宋_GB2312"/>
                                      <w:color w:val="FF0000"/>
                                      <w:sz w:val="24"/>
                                      <w:szCs w:val="24"/>
                                      <w:highlight w:val="yellow"/>
                                      <w:lang w:val="en-US" w:eastAsia="zh-CN"/>
                                    </w:rPr>
                                  </w:pPr>
                                  <w:r>
                                    <w:rPr>
                                      <w:rFonts w:hint="eastAsia" w:ascii="仿宋_GB2312" w:hAnsi="仿宋_GB2312" w:eastAsia="仿宋_GB2312" w:cs="仿宋_GB2312"/>
                                      <w:color w:val="FF0000"/>
                                      <w:sz w:val="24"/>
                                      <w:szCs w:val="24"/>
                                      <w:highlight w:val="yellow"/>
                                      <w:lang w:val="en-US" w:eastAsia="zh-CN"/>
                                    </w:rPr>
                                    <w:t>3号航道标海域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81.45pt;margin-top:53.1pt;height:31.5pt;width:99.75pt;z-index:251660288;v-text-anchor:middle;mso-width-relative:page;mso-height-relative:page;" fillcolor="#4874CB [3204]" filled="t" stroked="t" coordsize="21600,21600" o:gfxdata="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Am/jVTYAAAACwEAAA8AAAAAAAAAAQAgAAAAIgAAAGRycy9kb3ducmV2LnhtbFBL&#10;AQIUABQAAAAIAIdO4kC9CeDM2gIAAL8FAAAOAAAAAAAAAAEAIAAAACcBAABkcnMvZTJvRG9jLnht&#10;bFBLBQYAAAAABgAGAFkBAABzBgAAAAA=&#10;" adj="17063,35211,14400">
                      <v:fill on="t" opacity="32112f" focussize="0,0"/>
                      <v:stroke weight="1pt" color="#C00000 [2404]" miterlimit="8" joinstyle="miter"/>
                      <v:imagedata o:title=""/>
                      <o:lock v:ext="edit" aspectratio="f"/>
                      <v:textbox>
                        <w:txbxContent>
                          <w:p w14:paraId="62D830AB">
                            <w:pPr>
                              <w:jc w:val="center"/>
                              <w:rPr>
                                <w:rFonts w:hint="eastAsia" w:ascii="仿宋_GB2312" w:hAnsi="仿宋_GB2312" w:eastAsia="仿宋_GB2312" w:cs="仿宋_GB2312"/>
                                <w:color w:val="FF0000"/>
                                <w:sz w:val="24"/>
                                <w:szCs w:val="24"/>
                                <w:highlight w:val="yellow"/>
                                <w:lang w:val="en-US" w:eastAsia="zh-CN"/>
                              </w:rPr>
                            </w:pPr>
                            <w:r>
                              <w:rPr>
                                <w:rFonts w:hint="eastAsia" w:ascii="仿宋_GB2312" w:hAnsi="仿宋_GB2312" w:eastAsia="仿宋_GB2312" w:cs="仿宋_GB2312"/>
                                <w:color w:val="FF0000"/>
                                <w:sz w:val="24"/>
                                <w:szCs w:val="24"/>
                                <w:highlight w:val="yellow"/>
                                <w:lang w:val="en-US" w:eastAsia="zh-CN"/>
                              </w:rPr>
                              <w:t>3号航道标海域</w:t>
                            </w:r>
                          </w:p>
                        </w:txbxContent>
                      </v:textbox>
                    </v:shape>
                  </w:pict>
                </mc:Fallback>
              </mc:AlternateContent>
            </w: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drawing>
                <wp:inline distT="0" distB="0" distL="114300" distR="114300">
                  <wp:extent cx="4816475" cy="2918460"/>
                  <wp:effectExtent l="0" t="0" r="3175" b="15240"/>
                  <wp:docPr id="1" name="图片 1" descr="微信图片_2025073115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731153803"/>
                          <pic:cNvPicPr>
                            <a:picLocks noChangeAspect="1"/>
                          </pic:cNvPicPr>
                        </pic:nvPicPr>
                        <pic:blipFill>
                          <a:blip r:embed="rId10"/>
                          <a:stretch>
                            <a:fillRect/>
                          </a:stretch>
                        </pic:blipFill>
                        <pic:spPr>
                          <a:xfrm>
                            <a:off x="0" y="0"/>
                            <a:ext cx="4816475" cy="2918460"/>
                          </a:xfrm>
                          <a:prstGeom prst="rect">
                            <a:avLst/>
                          </a:prstGeom>
                        </pic:spPr>
                      </pic:pic>
                    </a:graphicData>
                  </a:graphic>
                </wp:inline>
              </w:drawing>
            </w:r>
          </w:p>
          <w:p w14:paraId="61376B7B">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3号航道标海域（事后勘察拍摄图片）</w:t>
            </w:r>
          </w:p>
        </w:tc>
      </w:tr>
    </w:tbl>
    <w:p w14:paraId="19D05507">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2.事发时气象水文情况</w:t>
      </w:r>
    </w:p>
    <w:p w14:paraId="3D014B5F">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根据三亚星华游艇码头2025年7月12日8:05在“星华游艇码头”微信工作群转发信息（部分摘录）：根据三亚市气象台短时【天气预报】，预计未来三小时，三亚市多云，局地有小雨，西南风3-4级，气温25-32℃；沿岸海面多云，西南风4-5级；东部和南部海面多云，西南风5级、阵风6级。请船舶及公司密切关注最新气象海况信息，及早做好恶劣气象海况时的安全防范工作。短时【天气预报】未包含波高信息。</w:t>
      </w:r>
    </w:p>
    <w:p w14:paraId="709F1930">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根据“子硕号”游艇操作员梁某在笔录时称事发时没有风浪。</w:t>
      </w:r>
    </w:p>
    <w:p w14:paraId="04FEF6C3">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综上，结合事发时现场监控视频，事故调查组分析认为，7月12日（事发当日）未发现船舶不适航的恶劣气象环境条件。</w:t>
      </w:r>
    </w:p>
    <w:p w14:paraId="6558308F">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bookmarkStart w:id="7" w:name="_Toc4741"/>
      <w:r>
        <w:rPr>
          <w:rFonts w:hint="eastAsia" w:ascii="楷体" w:hAnsi="楷体" w:eastAsia="楷体" w:cs="楷体"/>
          <w:b w:val="0"/>
          <w:bCs w:val="0"/>
          <w:color w:val="000000" w:themeColor="text1"/>
          <w:sz w:val="32"/>
          <w:szCs w:val="32"/>
          <w:lang w:val="en-US" w:eastAsia="zh-CN"/>
          <w14:textFill>
            <w14:solidFill>
              <w14:schemeClr w14:val="tx1"/>
            </w14:solidFill>
          </w14:textFill>
        </w:rPr>
        <w:t>（四）有关企业安全管理情况</w:t>
      </w:r>
      <w:bookmarkEnd w:id="7"/>
    </w:p>
    <w:p w14:paraId="2920877C">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1.海畅商贸有限公司</w:t>
      </w:r>
    </w:p>
    <w:p w14:paraId="5F6DCB81">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现有“子硕号”与“海畅商贸号”两艘船舶，总运力24客位，停靠于三亚星华码头A12b、A07泊位，船舶航区为三亚角近岸海域，为游客提供海上观光、海钓、娱乐休闲及包船日游等服务。公司拥有持证船员、航运管理人员等约5名员工，设有安全小组、船务部等部门，公司建立有《生产安全事故应急预案》，成立了安全生产及应急领导小组，由总经理任组长，副总经理任副组长，成员包括各部门负责人、安全管理人员及游艇操作员。公司有组织相关安全培训与应急演练并留存影像记录。</w:t>
      </w:r>
    </w:p>
    <w:p w14:paraId="1752858D">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2.三亚艇浪漫商务服务有限公司</w:t>
      </w:r>
    </w:p>
    <w:p w14:paraId="4FF83546">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在岗职工约4人（法定代表人、销售、游艇操作员、游艇工作人员；未签订人事关系合同），未制定全员安全生产责任制、安全培训教育、双重预防机制、游艇操作规程、应急预案等安全与应急管理体系制度，未建立安全与应急管理工作记录与档案。</w:t>
      </w:r>
    </w:p>
    <w:p w14:paraId="628850E2">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3.海南百事通国际旅行社有限公司</w:t>
      </w:r>
    </w:p>
    <w:p w14:paraId="63B883AB">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公司在岗职工约35人，建立有旅游标准化文件《安全工作制度》《食品安全管理制度》《旅游安全须知》《台风及影响航班的天气工作要求》《突发事件的应急预案》《团队接待突发事件应急预案》等。</w:t>
      </w:r>
    </w:p>
    <w:p w14:paraId="5BD6BE04">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bookmarkStart w:id="8" w:name="_Toc1388"/>
      <w:bookmarkStart w:id="9" w:name="_Toc14795"/>
      <w:r>
        <w:rPr>
          <w:rFonts w:hint="eastAsia" w:ascii="楷体" w:hAnsi="楷体" w:eastAsia="楷体" w:cs="楷体"/>
          <w:b w:val="0"/>
          <w:bCs w:val="0"/>
          <w:color w:val="000000" w:themeColor="text1"/>
          <w:sz w:val="32"/>
          <w:szCs w:val="32"/>
          <w:lang w:val="en-US" w:eastAsia="zh-CN"/>
          <w14:textFill>
            <w14:solidFill>
              <w14:schemeClr w14:val="tx1"/>
            </w14:solidFill>
          </w14:textFill>
        </w:rPr>
        <w:t>（五）有关行业领域主管</w:t>
      </w:r>
      <w:r>
        <w:rPr>
          <w:rFonts w:hint="default" w:ascii="楷体" w:hAnsi="楷体" w:eastAsia="楷体" w:cs="楷体"/>
          <w:b w:val="0"/>
          <w:bCs w:val="0"/>
          <w:color w:val="000000" w:themeColor="text1"/>
          <w:sz w:val="32"/>
          <w:szCs w:val="32"/>
          <w:lang w:val="en-US" w:eastAsia="zh-CN"/>
          <w14:textFill>
            <w14:solidFill>
              <w14:schemeClr w14:val="tx1"/>
            </w14:solidFill>
          </w14:textFill>
        </w:rPr>
        <w:t>单位</w:t>
      </w:r>
      <w:r>
        <w:rPr>
          <w:rFonts w:hint="eastAsia" w:ascii="楷体" w:hAnsi="楷体" w:eastAsia="楷体" w:cs="楷体"/>
          <w:b w:val="0"/>
          <w:bCs w:val="0"/>
          <w:color w:val="000000" w:themeColor="text1"/>
          <w:sz w:val="32"/>
          <w:szCs w:val="32"/>
          <w:lang w:val="en-US" w:eastAsia="zh-CN"/>
          <w14:textFill>
            <w14:solidFill>
              <w14:schemeClr w14:val="tx1"/>
            </w14:solidFill>
          </w14:textFill>
        </w:rPr>
        <w:t>履职情况</w:t>
      </w:r>
      <w:bookmarkEnd w:id="8"/>
      <w:bookmarkEnd w:id="9"/>
    </w:p>
    <w:p w14:paraId="5E63107C">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10" w:name="_Toc14617"/>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bookmarkEnd w:id="1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三亚市海事部门分别于2025年4月22日、2024年12月6日、2024年5月17日对“子硕号”游艇开展现场监督检查，并督促其及时完成整改，符合《船舶安全监督规则》的程序要求。</w:t>
      </w:r>
    </w:p>
    <w:p w14:paraId="45C72CC7">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2.三亚市交通部门2025年4月印发了《2025年汛期暑期交通运输安全生产重大风险隐患排查整治行动方案》《游艇企业安全生产及经营情况自查表》等文件，截至7月12日，共抽查游艇企业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家，检查游艇码头超10次，发现问题超</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40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项，下发整改通知</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书30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份，已全部整改完成；在开展游艇租赁行业整治工作中共开展租赁游艇专项整治19次，检查游艇租赁企业51家次，终止违规经营行为21艘次，移交涉嫌违规经营线索5件至市综合行政执法部门，约谈游艇企业4家。其中，2025年4月23日对海南海畅商贸有限公司游艇操作人员、游艇经营资质、购买保险、停泊协议、安全管理制度等事项进行检查并督促完成整改。</w:t>
      </w:r>
    </w:p>
    <w:p w14:paraId="0746BBCD">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三亚市旅文部门下发了《关于进一步规范与潜水活动服务商合作的通知》《关于旅行社组织团队参加水上项目游玩的安全提示》等通知文件，并联合市场监管、综合行政执法、公安等部门开展安全整治，今年以来，累计开展445家次巡查，督促3家停业旅行社完成注销手续，对4家旅行社服务点责令教育整改，依法将15家经营地址不实、失联企业列入经营异常名录。三亚市旅文部门制定了《三亚市摩托艇等水上旅游项目规范发展工作方案》《三亚市旅游市场规范整治工作方案》《三亚市摩托艇经营管理专项整治工作方案》等专项方案，同步推进《三亚市摩托艇旅游项目经营管理办法（试行）》编制工作，推行“一艇一码”精准溯源工作。今年以来，累计检查水上项目经营企业90家次，发现安全隐患问题32条，对可立行立改的现场督促整改，对需限期整改的明确时限并联动属地政府跟踪落实。依法查处关停未经许可开展水上项目经营的赫成码头、后元码头2家。联合应急、执法、旅游调解委等部门妥善处置摩托艇安全事故7起，为游客协调争取合理赔偿48500元。</w:t>
      </w:r>
    </w:p>
    <w:p w14:paraId="617D9175">
      <w:pPr>
        <w:pStyle w:val="2"/>
        <w:keepNext w:val="0"/>
        <w:keepLines w:val="0"/>
        <w:pageBreakBefore w:val="0"/>
        <w:widowControl w:val="0"/>
        <w:kinsoku/>
        <w:wordWrap/>
        <w:overflowPunct/>
        <w:topLinePunct w:val="0"/>
        <w:autoSpaceDE/>
        <w:autoSpaceDN/>
        <w:bidi w:val="0"/>
        <w:adjustRightInd/>
        <w:snapToGrid/>
        <w:spacing w:before="0" w:after="0" w:line="240" w:lineRule="auto"/>
        <w:ind w:firstLine="643" w:firstLineChars="200"/>
        <w:textAlignment w:val="auto"/>
        <w:rPr>
          <w:rFonts w:hint="default" w:ascii="黑体" w:hAnsi="黑体" w:eastAsia="黑体" w:cs="黑体"/>
          <w:b/>
          <w:color w:val="000000" w:themeColor="text1"/>
          <w:sz w:val="32"/>
          <w:szCs w:val="32"/>
          <w:lang w:val="en-US" w:eastAsia="zh-CN"/>
          <w14:textFill>
            <w14:solidFill>
              <w14:schemeClr w14:val="tx1"/>
            </w14:solidFill>
          </w14:textFill>
        </w:rPr>
      </w:pPr>
      <w:bookmarkStart w:id="11" w:name="_Toc7544"/>
      <w:r>
        <w:rPr>
          <w:rFonts w:hint="eastAsia" w:ascii="黑体" w:hAnsi="黑体" w:eastAsia="黑体" w:cs="黑体"/>
          <w:b/>
          <w:color w:val="000000" w:themeColor="text1"/>
          <w:sz w:val="32"/>
          <w:szCs w:val="32"/>
          <w:lang w:val="en-US" w:eastAsia="zh-CN"/>
          <w14:textFill>
            <w14:solidFill>
              <w14:schemeClr w14:val="tx1"/>
            </w14:solidFill>
          </w14:textFill>
        </w:rPr>
        <w:t>二、事故发生经过及应急救援情况</w:t>
      </w:r>
      <w:bookmarkEnd w:id="11"/>
    </w:p>
    <w:p w14:paraId="408CAB74">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12" w:name="_Toc22208"/>
      <w:r>
        <w:rPr>
          <w:rFonts w:hint="eastAsia" w:ascii="楷体" w:hAnsi="楷体" w:eastAsia="楷体" w:cs="楷体"/>
          <w:b w:val="0"/>
          <w:bCs w:val="0"/>
          <w:color w:val="000000" w:themeColor="text1"/>
          <w:sz w:val="32"/>
          <w:szCs w:val="32"/>
          <w:lang w:val="en-US" w:eastAsia="zh-CN"/>
          <w14:textFill>
            <w14:solidFill>
              <w14:schemeClr w14:val="tx1"/>
            </w14:solidFill>
          </w14:textFill>
        </w:rPr>
        <w:t>（一）事故经过</w:t>
      </w:r>
      <w:bookmarkEnd w:id="12"/>
    </w:p>
    <w:p w14:paraId="0D64F8BB">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事故调查组依据</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视频监控影像</w:t>
      </w:r>
      <w:r>
        <w:rPr>
          <w:rFonts w:hint="eastAsia" w:ascii="仿宋_GB2312" w:hAnsi="仿宋_GB2312" w:eastAsia="仿宋_GB2312" w:cs="仿宋_GB2312"/>
          <w:color w:val="000000" w:themeColor="text1"/>
          <w:sz w:val="32"/>
          <w:szCs w:val="32"/>
          <w:highlight w:val="none"/>
          <w14:textFill>
            <w14:solidFill>
              <w14:schemeClr w14:val="tx1"/>
            </w14:solidFill>
          </w14:textFill>
        </w:rPr>
        <w:t>、相关人员笔录以及</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走访问询相关单位</w:t>
      </w:r>
      <w:r>
        <w:rPr>
          <w:rFonts w:hint="eastAsia" w:ascii="仿宋_GB2312" w:hAnsi="仿宋_GB2312" w:eastAsia="仿宋_GB2312" w:cs="仿宋_GB2312"/>
          <w:color w:val="000000" w:themeColor="text1"/>
          <w:sz w:val="32"/>
          <w:szCs w:val="32"/>
          <w:highlight w:val="none"/>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信息</w:t>
      </w:r>
      <w:r>
        <w:rPr>
          <w:rFonts w:hint="eastAsia" w:ascii="仿宋_GB2312" w:hAnsi="仿宋_GB2312" w:eastAsia="仿宋_GB2312" w:cs="仿宋_GB2312"/>
          <w:color w:val="000000" w:themeColor="text1"/>
          <w:sz w:val="32"/>
          <w:szCs w:val="32"/>
          <w:highlight w:val="none"/>
          <w14:textFill>
            <w14:solidFill>
              <w14:schemeClr w14:val="tx1"/>
            </w14:solidFill>
          </w14:textFill>
        </w:rPr>
        <w:t>，经过综合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分析，梳理事故经过如下：</w:t>
      </w:r>
    </w:p>
    <w:p w14:paraId="1D1A6DE0">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2025年7月10日，张某馨通过携程网上购买了2成人的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北纬18°三亚定制旅行服务（5天4晚三亚游）。</w:t>
      </w:r>
    </w:p>
    <w:p w14:paraId="45039408">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7月11日，张某馨和王某从上海飞抵三亚，入住三亚湾亚太诺富特酒店。</w:t>
      </w:r>
    </w:p>
    <w:p w14:paraId="3142C066">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7月12日8时许，张某馨和王某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按照行程安排从酒店出发。</w:t>
      </w:r>
    </w:p>
    <w:p w14:paraId="44CF5561">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8:50左右，张某馨和王某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到达星华码头乘坐“子硕号”游艇准备出海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14:paraId="76E89DA5">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9:10左右，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“子硕号”游艇出发，至凤凰岛附近海域（三亚港3号航道标附近海域）抛锚供游客游玩。</w:t>
      </w:r>
    </w:p>
    <w:p w14:paraId="7A51DA1F">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10:30-10:35左右，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和王某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两人从游艇二层甲板下到一层甲板，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王某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穿着救生衣在游艇工作人员吴某彪的帮助下，从尾甲板处第一次下海游泳，时长约3分钟后上船休息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14:paraId="73BA9E81">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10:39:56，游艇监控视频显示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上身裸露，穿着黑色短裤（未穿救生衣）走向游艇护栏外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尾甲板处弯腰站着的王某（穿着救生衣）。</w:t>
      </w:r>
    </w:p>
    <w:p w14:paraId="752BAEDE">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:39:59，游艇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工作人员吴某彪提示张某馨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的声音“大哥你不要下哦，你要下的话要穿……（视频语音中断模糊不清），后续声音是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吴某彪</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和其他游客讲解下水穿救生衣是海事规定的</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，结合笔录情况，中间模糊不清的内容应该是要求下海要穿戴救生衣。视频显示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未回话径直走向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尾甲板处的王某，并面向外站立着，左右双手分别抓住游艇尾甲板出口处的金属护栏与船体护栏。此时游艇工作人员吴某彪在游艇后门和沙发座椅中间区域抽烟。</w:t>
      </w:r>
    </w:p>
    <w:p w14:paraId="00477B93">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10:40:07，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（未穿救生衣）和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王某（穿着救生衣）先是互相牵拉着手搀扶着站在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游艇护栏外的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尾甲板处，随后两人坐在尾甲板处讲话交谈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14:paraId="6EC5EE90">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10:40:57，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王某从尾甲板起身站起，两人面对面（王某背向大海，张某馨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面向大海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），王某先左手抓住张某馨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右手，随后右手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抓住张某馨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左手身子朝后从尾甲板处用脚探着缓慢下海。</w:t>
      </w:r>
    </w:p>
    <w:p w14:paraId="1AA4A9C0">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10:41:06，王某失去身体重心快速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下海瞬间双手拉着张某馨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一同跌落入海中。</w:t>
      </w:r>
    </w:p>
    <w:p w14:paraId="58EAB57B">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10:41:10，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游艇工作人员吴某彪</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听到动静后走到尾甲板处看向落水的两人喊道，“大哥，会游泳吗”，但未见回应。</w:t>
      </w:r>
    </w:p>
    <w:p w14:paraId="7E8EB52D">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10:41:12，此时监控视频显示落水的两人就在游艇尾甲板落水处，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王某头露出海面，王某身后约1.5米远的张某馨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头已沉入海面双手向上举起挣扎着，但很快便全身沉入海面。</w:t>
      </w: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1"/>
      </w:tblGrid>
      <w:tr w14:paraId="4E0C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1" w:type="dxa"/>
            <w:tcBorders>
              <w:tl2br w:val="nil"/>
              <w:tr2bl w:val="nil"/>
            </w:tcBorders>
            <w:vAlign w:val="top"/>
          </w:tcPr>
          <w:p w14:paraId="161BC4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eastAsiaTheme="minorEastAsia"/>
                <w:color w:val="000000" w:themeColor="text1"/>
                <w:lang w:val="en-US" w:eastAsia="zh-CN"/>
                <w14:textFill>
                  <w14:solidFill>
                    <w14:schemeClr w14:val="tx1"/>
                  </w14:solidFill>
                </w14:textFill>
              </w:rPr>
            </w:pPr>
          </w:p>
        </w:tc>
      </w:tr>
    </w:tbl>
    <w:p w14:paraId="71767B2A">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13" w:name="_Toc27538"/>
      <w:r>
        <w:rPr>
          <w:rFonts w:hint="eastAsia" w:ascii="楷体" w:hAnsi="楷体" w:eastAsia="楷体" w:cs="楷体"/>
          <w:b w:val="0"/>
          <w:bCs w:val="0"/>
          <w:color w:val="000000" w:themeColor="text1"/>
          <w:sz w:val="32"/>
          <w:szCs w:val="32"/>
          <w:lang w:val="en-US" w:eastAsia="zh-CN"/>
          <w14:textFill>
            <w14:solidFill>
              <w14:schemeClr w14:val="tx1"/>
            </w14:solidFill>
          </w14:textFill>
        </w:rPr>
        <w:t>（二）应急处置情况</w:t>
      </w:r>
      <w:bookmarkEnd w:id="13"/>
    </w:p>
    <w:p w14:paraId="439B3434">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10:41:15，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游艇工作人员吴某彪</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转身走到游艇后甲板侧舷处取拿救生圈，此时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王某已独自半个身子攀爬上游艇尾甲板，并喊着“收点快点”。</w:t>
      </w:r>
    </w:p>
    <w:p w14:paraId="10495777">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10:41:22，监控视频中全身沉入水中的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身影消失在海面上。</w:t>
      </w:r>
    </w:p>
    <w:p w14:paraId="1C7B532D">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10:41:41，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游艇工作人员吴某彪</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将救生圈丢向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落水方位，但张某馨已完全下沉够不着救生圈，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游艇工作人员吴某彪站立在游艇上</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双手拉着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王某左手帮助其完全爬上尾甲板。游艇工作人员吴某彪喊游艇操作员梁某，旁边游客也帮忙找游艇操作员，但游艇操作员此时在船舱卫生间上厕所未能第一时间赶到事发现场。</w:t>
      </w:r>
    </w:p>
    <w:p w14:paraId="552BA1FE">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42-10:44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左右，游艇操作员梁某赶到尾甲板处询问情况并开始打电话报告与求援，同时喊话边上的几艘摩托艇帮忙搜救，但未能找到张某馨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14:paraId="4B8DB040">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11时许，三亚港海岸派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出所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执法艇、海事局、南海救援队、后元码头救援队、海警，三亚鹿城救援队等陆续赶到现场实施应急救援，但未能找到张某馨。</w:t>
      </w:r>
    </w:p>
    <w:p w14:paraId="31E8A2AF">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11:30左右，游艇操作员梁某联系其他船舶接送“子硕号”游艇上的其他游客返回码头。</w:t>
      </w:r>
    </w:p>
    <w:p w14:paraId="6574E658">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14" w:name="_Toc23628"/>
      <w:r>
        <w:rPr>
          <w:rFonts w:hint="eastAsia" w:ascii="楷体" w:hAnsi="楷体" w:eastAsia="楷体" w:cs="楷体"/>
          <w:b w:val="0"/>
          <w:bCs w:val="0"/>
          <w:color w:val="000000" w:themeColor="text1"/>
          <w:sz w:val="32"/>
          <w:szCs w:val="32"/>
          <w:lang w:val="en-US" w:eastAsia="zh-CN"/>
          <w14:textFill>
            <w14:solidFill>
              <w14:schemeClr w14:val="tx1"/>
            </w14:solidFill>
          </w14:textFill>
        </w:rPr>
        <w:t>（三）后期处置与善后情况</w:t>
      </w:r>
      <w:bookmarkEnd w:id="14"/>
    </w:p>
    <w:p w14:paraId="11D4C28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7月12日13:43左右，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的父亲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张某友接到派出所民警电话，被告知张某馨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在三亚出海时溺水，随后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张某友购买机票并于当天下午从深圳赶到三亚处理相关事宜。</w:t>
      </w:r>
    </w:p>
    <w:p w14:paraId="473FC9AD">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7月13日，三亚禹途救援队、三亚鹿城救援队、海事局等出动无人机观测，投入快艇4艘、摩托艇3艘、巡逻船1艘，现场25名救援人员持续搜寻。</w:t>
      </w:r>
    </w:p>
    <w:p w14:paraId="1A997BF7">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7月14日，后元码头救援队、海警、优沐救援队、三亚鹿城救援队、三亚蓝天救援队等投入摩托艇10艘、海警巡逻船1艘，冲锋舟9艘，橡皮艇5艘，现场59名救援人员持续搜寻。</w:t>
      </w:r>
    </w:p>
    <w:p w14:paraId="031A6769">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7月15日，三亚禹途救援队、后元码头救援队、三亚鹿城救援队、三亚蓝天救援队、优沐救援队等投入3台无人机、1艘双体船、22艘摩托艇、8艘冲锋舟和2艘橡皮艇，现场62名救援人员持续搜寻。</w:t>
      </w:r>
    </w:p>
    <w:p w14:paraId="72359170">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7月15日9:30左右，渔民郑某圣驾驶儋01.03114渔船路过东岛附近海域时（距离东岛海岸线约1-2海里）发现浮尸，随后郑某圣报警，约半小时后，三亚海警局及其他救援力量抵达现场展开搜寻。</w:t>
      </w:r>
    </w:p>
    <w:p w14:paraId="4B6463E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7月15日12:40，三亚海警局报告7月1</w:t>
      </w:r>
      <w:bookmarkStart w:id="34" w:name="_GoBack"/>
      <w:bookmarkEnd w:id="34"/>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2日游艇落水失踪人员张某馨遗体已在天涯区东岛附近海域被打捞上岸。</w:t>
      </w:r>
    </w:p>
    <w:p w14:paraId="01B267A9">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7月16日，张某馨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的父亲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张某友以及姑姑在公安民警孙威威的见证下签字《声明书》，声明书中认为张某馨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系生前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溺水</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死亡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，排除中毒</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死亡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，排除刑事案件，只需要公安机关对尸体进行尸表检验，拒绝尸体解剖检验，由此不解剖尸体产生的法律责任自己承担。</w:t>
      </w:r>
    </w:p>
    <w:p w14:paraId="5132916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7月16日，三亚港海岸派出所出具《非正常死亡证明》，死亡者姓名：张某馨；死亡日期：2025年7月12日；死亡地点：海南省三亚市天涯区三亚港3号航道标准附近海域；死亡原因：张某馨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符合</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生前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溺水</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死亡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三亚市公安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局</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鉴定中心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非正常死亡尸体</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检验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说明编号：〔2025〕195号）。</w:t>
      </w:r>
    </w:p>
    <w:p w14:paraId="063F072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5" w:name="_Toc2687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月16日，海南海畅商贸有限公司（甲方）与张某馨父亲张某友（乙方）签订《和解协议》，共同确认张某馨在甲方经营的游艇上游玩时不幸发生意外落水溺亡事件的基本事实，明确赔偿金额及支付方式、责任承担与承诺放弃等事项。</w:t>
      </w:r>
    </w:p>
    <w:p w14:paraId="04412D87">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（四）事故损失情况</w:t>
      </w:r>
      <w:bookmarkEnd w:id="15"/>
    </w:p>
    <w:p w14:paraId="1A4A642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此次事故最终导致1人溺水死亡。</w:t>
      </w:r>
    </w:p>
    <w:p w14:paraId="378CB48E">
      <w:pPr>
        <w:pStyle w:val="2"/>
        <w:keepNext w:val="0"/>
        <w:keepLines w:val="0"/>
        <w:pageBreakBefore w:val="0"/>
        <w:widowControl w:val="0"/>
        <w:kinsoku/>
        <w:wordWrap/>
        <w:overflowPunct/>
        <w:topLinePunct w:val="0"/>
        <w:autoSpaceDE/>
        <w:autoSpaceDN/>
        <w:bidi w:val="0"/>
        <w:adjustRightInd/>
        <w:snapToGrid/>
        <w:spacing w:before="0" w:after="0" w:line="240" w:lineRule="auto"/>
        <w:ind w:firstLine="643" w:firstLineChars="200"/>
        <w:textAlignment w:val="auto"/>
        <w:rPr>
          <w:rFonts w:hint="default" w:ascii="黑体" w:hAnsi="黑体" w:eastAsia="黑体" w:cs="黑体"/>
          <w:b/>
          <w:color w:val="000000" w:themeColor="text1"/>
          <w:sz w:val="32"/>
          <w:szCs w:val="32"/>
          <w:lang w:val="en-US" w:eastAsia="zh-CN"/>
          <w14:textFill>
            <w14:solidFill>
              <w14:schemeClr w14:val="tx1"/>
            </w14:solidFill>
          </w14:textFill>
        </w:rPr>
      </w:pPr>
      <w:bookmarkStart w:id="16" w:name="_Toc8448"/>
      <w:r>
        <w:rPr>
          <w:rFonts w:hint="eastAsia" w:ascii="黑体" w:hAnsi="黑体" w:eastAsia="黑体" w:cs="黑体"/>
          <w:b/>
          <w:color w:val="000000" w:themeColor="text1"/>
          <w:sz w:val="32"/>
          <w:szCs w:val="32"/>
          <w:lang w:val="en-US" w:eastAsia="zh-CN"/>
          <w14:textFill>
            <w14:solidFill>
              <w14:schemeClr w14:val="tx1"/>
            </w14:solidFill>
          </w14:textFill>
        </w:rPr>
        <w:t>三、事故原因及性质</w:t>
      </w:r>
      <w:bookmarkEnd w:id="16"/>
    </w:p>
    <w:p w14:paraId="1A474323">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bookmarkStart w:id="17" w:name="_Toc11945"/>
      <w:r>
        <w:rPr>
          <w:rFonts w:hint="eastAsia" w:ascii="楷体" w:hAnsi="楷体" w:eastAsia="楷体" w:cs="楷体"/>
          <w:b w:val="0"/>
          <w:bCs w:val="0"/>
          <w:color w:val="000000" w:themeColor="text1"/>
          <w:sz w:val="32"/>
          <w:szCs w:val="32"/>
          <w:lang w:val="en-US" w:eastAsia="zh-CN"/>
          <w14:textFill>
            <w14:solidFill>
              <w14:schemeClr w14:val="tx1"/>
            </w14:solidFill>
          </w14:textFill>
        </w:rPr>
        <w:t>（一）直接原因</w:t>
      </w:r>
      <w:bookmarkEnd w:id="17"/>
    </w:p>
    <w:p w14:paraId="64C4E76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default" w:ascii="仿宋_GB2312" w:hAnsi="仿宋_GB2312" w:eastAsia="仿宋_GB2312" w:cs="仿宋_GB2312"/>
          <w:b/>
          <w:bCs/>
          <w:color w:val="000000" w:themeColor="text1"/>
          <w:kern w:val="2"/>
          <w:sz w:val="32"/>
          <w:szCs w:val="32"/>
          <w:u w:val="singl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事故调查组综合分析监控视频、人员笔录及企业走访信息，认定事故直接原因为：</w:t>
      </w:r>
      <w:r>
        <w:rPr>
          <w:rFonts w:hint="eastAsia" w:ascii="仿宋_GB2312" w:hAnsi="仿宋_GB2312" w:eastAsia="仿宋_GB2312" w:cs="仿宋_GB2312"/>
          <w:b/>
          <w:bCs/>
          <w:color w:val="000000" w:themeColor="text1"/>
          <w:kern w:val="2"/>
          <w:sz w:val="32"/>
          <w:szCs w:val="32"/>
          <w:u w:val="single"/>
          <w:lang w:val="en-US" w:eastAsia="zh-CN" w:bidi="ar-SA"/>
          <w14:textFill>
            <w14:solidFill>
              <w14:schemeClr w14:val="tx1"/>
            </w14:solidFill>
          </w14:textFill>
        </w:rPr>
        <w:t>张某馨乘坐游艇出海游玩观光时，在游艇工作人员吴某彪劝阻“下海需要穿戴救生衣”的情况下，依然未穿戴救生衣协助同伴王某下海，被下海失去重心的王某拉扯，从游艇尾甲板跌入海中，最终溺水死亡。</w:t>
      </w:r>
    </w:p>
    <w:p w14:paraId="1EC21596">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bookmarkStart w:id="18" w:name="_Toc13500"/>
      <w:r>
        <w:rPr>
          <w:rFonts w:hint="eastAsia" w:ascii="楷体" w:hAnsi="楷体" w:eastAsia="楷体" w:cs="楷体"/>
          <w:b w:val="0"/>
          <w:bCs w:val="0"/>
          <w:color w:val="000000" w:themeColor="text1"/>
          <w:sz w:val="32"/>
          <w:szCs w:val="32"/>
          <w:lang w:val="en-US" w:eastAsia="zh-CN"/>
          <w14:textFill>
            <w14:solidFill>
              <w14:schemeClr w14:val="tx1"/>
            </w14:solidFill>
          </w14:textFill>
        </w:rPr>
        <w:t>（二）间接原因</w:t>
      </w:r>
      <w:bookmarkEnd w:id="18"/>
    </w:p>
    <w:p w14:paraId="40F6EA7D">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海畅商贸有限公司</w:t>
      </w:r>
    </w:p>
    <w:p w14:paraId="1E0E4BAA">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公司作为游艇出租方和经营者，未严格落实《</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旅游安全管理办法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》第九条、第十条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，《三亚市水上旅游管理办法》第二十条、第二十一条、第二十二条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，《游艇安全管理规定》第二十五条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有关规定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对游艇出海的安全风险管控不到位，对于水上旅游可以预见的重大安全风险——溺亡事故认识不足。公司落实人员培训教育不到位，两名游艇工作人员均为刚入职十天左右（试用期）便安排上岗，未签订劳动合同，未建立入职新员工从入岗教育培训到考核合格上岗的工作机制。现场组织与应急管理不到位，游艇工作人员默许游客从游艇下海游泳，且对于已发现游客不穿救生衣冒险行动的安全隐患，未进一步采取有效的安全与应急管控措施。</w:t>
      </w:r>
    </w:p>
    <w:p w14:paraId="46731AC7">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2.三亚艇浪漫商务服务有限公司</w:t>
      </w:r>
    </w:p>
    <w:p w14:paraId="709448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公司作为游艇接待服务组织者和游艇承租方，未严格落实《中华人民共和国安全生产法》第四十九条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4"/>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，《中华人民共和国旅游法》第五十条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5"/>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，《旅游安全管理办法》第四条、第八条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6"/>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有关规定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未履行旅游安全主体责任，未对合作方（承包承租方）的安全生产工作进行统一协调与管理。未签订专门的安全生产管理协议或在租赁合同中未明确双方各自的安全生产管理职责；未对游艇服务进行风险监测和安全评估，未履行安全风险提示义务，未按合同要求为游艇接待服务购买足额保单。</w:t>
      </w:r>
    </w:p>
    <w:p w14:paraId="0BE48FD7">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3.海南百事通国际旅行社有限公司</w:t>
      </w:r>
    </w:p>
    <w:p w14:paraId="446ED5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9"/>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公司作为定制旅游的组织者，</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未严格落实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《中华人民共和国安全生产法》第四十九条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7"/>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中华人民共和国旅游法</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》第六十二条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8"/>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，《旅游安全管理办法》第四条、第八条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9"/>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有关规定，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公司落实旅游安全主体责任不到位，</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事前对旅游活动中的具体较高风险项目的</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安全风险预警和</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安全</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提示</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不到位；未对合作方（承包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承租方）</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安全生产工作进行统一协调与管理，未定期进行安全检查，未及时发现事故隐患并督促整改</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w:t>
      </w:r>
    </w:p>
    <w:p w14:paraId="09BEA69B">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19" w:name="_Toc25804"/>
      <w:r>
        <w:rPr>
          <w:rFonts w:hint="eastAsia" w:ascii="楷体" w:hAnsi="楷体" w:eastAsia="楷体" w:cs="楷体"/>
          <w:b w:val="0"/>
          <w:bCs w:val="0"/>
          <w:color w:val="000000" w:themeColor="text1"/>
          <w:sz w:val="32"/>
          <w:szCs w:val="32"/>
          <w:lang w:val="en-US" w:eastAsia="zh-CN"/>
          <w14:textFill>
            <w14:solidFill>
              <w14:schemeClr w14:val="tx1"/>
            </w14:solidFill>
          </w14:textFill>
        </w:rPr>
        <w:t>（三）事故性质</w:t>
      </w:r>
      <w:bookmarkEnd w:id="19"/>
    </w:p>
    <w:p w14:paraId="5989F4EF">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依据《生产安全事故报告和调查处理条例》（国务院令第493号）第三条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0"/>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u w:val="single"/>
          <w:lang w:val="en-US" w:eastAsia="zh-CN"/>
          <w14:textFill>
            <w14:solidFill>
              <w14:schemeClr w14:val="tx1"/>
            </w14:solidFill>
          </w14:textFill>
        </w:rPr>
        <w:t>事故调查组认定该起事故为一般生产安全事故。</w:t>
      </w:r>
    </w:p>
    <w:p w14:paraId="6D4E4F0F">
      <w:pPr>
        <w:pStyle w:val="2"/>
        <w:keepNext w:val="0"/>
        <w:keepLines w:val="0"/>
        <w:pageBreakBefore w:val="0"/>
        <w:widowControl w:val="0"/>
        <w:kinsoku/>
        <w:wordWrap/>
        <w:overflowPunct/>
        <w:topLinePunct w:val="0"/>
        <w:autoSpaceDE/>
        <w:autoSpaceDN/>
        <w:bidi w:val="0"/>
        <w:adjustRightInd/>
        <w:snapToGrid/>
        <w:spacing w:before="0" w:after="0" w:line="240" w:lineRule="auto"/>
        <w:ind w:firstLine="643" w:firstLineChars="200"/>
        <w:textAlignment w:val="auto"/>
        <w:rPr>
          <w:rFonts w:hint="default" w:ascii="黑体" w:hAnsi="黑体" w:eastAsia="黑体" w:cs="黑体"/>
          <w:b/>
          <w:color w:val="000000" w:themeColor="text1"/>
          <w:sz w:val="32"/>
          <w:szCs w:val="32"/>
          <w:lang w:val="en-US" w:eastAsia="zh-CN"/>
          <w14:textFill>
            <w14:solidFill>
              <w14:schemeClr w14:val="tx1"/>
            </w14:solidFill>
          </w14:textFill>
        </w:rPr>
      </w:pPr>
      <w:bookmarkStart w:id="20" w:name="_Toc24433"/>
      <w:r>
        <w:rPr>
          <w:rFonts w:hint="eastAsia" w:ascii="黑体" w:hAnsi="黑体" w:eastAsia="黑体" w:cs="黑体"/>
          <w:b/>
          <w:color w:val="000000" w:themeColor="text1"/>
          <w:sz w:val="32"/>
          <w:szCs w:val="32"/>
          <w:lang w:val="en-US" w:eastAsia="zh-CN"/>
          <w14:textFill>
            <w14:solidFill>
              <w14:schemeClr w14:val="tx1"/>
            </w14:solidFill>
          </w14:textFill>
        </w:rPr>
        <w:t>四、事故责任认定</w:t>
      </w:r>
      <w:bookmarkEnd w:id="20"/>
    </w:p>
    <w:p w14:paraId="591032AC">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事故调查组认定，本起事故是由游客冒险行动叠加有关公司未严格落实安全生产主体责任、游艇工作人员现场组织与安全管控不到位等原因所致的一般生产安全事故。</w:t>
      </w:r>
    </w:p>
    <w:p w14:paraId="3C089127">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1.游客张某馨、王某不听游艇工作人员劝阻，未遵守水上旅游安全警示而冒险行动，是导致事故发生的直接责任人。</w:t>
      </w:r>
    </w:p>
    <w:p w14:paraId="4786C0BF">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2.海畅商贸有限公司游艇工作人员梁某、吴某彪现场组织与安全管控不到位，是事故间接责任人。公司主要负责人张某军对事故的发生负有管理责任。</w:t>
      </w:r>
    </w:p>
    <w:p w14:paraId="3759EF8A">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三亚艇浪漫商务服务有限公司和海南百事通国际旅行社有限公司，对水上旅游高风险项目安全风险预警和提示缺失，未对合作方（承包承租方）的安全生产工作进行统一协调和管理，对事故的发生负有安全责任。</w:t>
      </w:r>
    </w:p>
    <w:p w14:paraId="59C767D0">
      <w:pPr>
        <w:pStyle w:val="2"/>
        <w:keepNext w:val="0"/>
        <w:keepLines w:val="0"/>
        <w:pageBreakBefore w:val="0"/>
        <w:widowControl w:val="0"/>
        <w:kinsoku/>
        <w:wordWrap/>
        <w:overflowPunct/>
        <w:topLinePunct w:val="0"/>
        <w:autoSpaceDE/>
        <w:autoSpaceDN/>
        <w:bidi w:val="0"/>
        <w:adjustRightInd/>
        <w:snapToGrid/>
        <w:spacing w:before="0" w:after="0" w:line="240" w:lineRule="auto"/>
        <w:ind w:firstLine="643" w:firstLineChars="200"/>
        <w:textAlignment w:val="auto"/>
        <w:rPr>
          <w:rFonts w:hint="default" w:ascii="黑体" w:hAnsi="黑体" w:eastAsia="黑体" w:cs="黑体"/>
          <w:b/>
          <w:color w:val="000000" w:themeColor="text1"/>
          <w:sz w:val="32"/>
          <w:szCs w:val="32"/>
          <w:lang w:val="en-US" w:eastAsia="zh-CN"/>
          <w14:textFill>
            <w14:solidFill>
              <w14:schemeClr w14:val="tx1"/>
            </w14:solidFill>
          </w14:textFill>
        </w:rPr>
      </w:pPr>
      <w:bookmarkStart w:id="21" w:name="_Toc6641"/>
      <w:r>
        <w:rPr>
          <w:rFonts w:hint="eastAsia" w:ascii="黑体" w:hAnsi="黑体" w:eastAsia="黑体" w:cs="黑体"/>
          <w:b/>
          <w:color w:val="000000" w:themeColor="text1"/>
          <w:sz w:val="32"/>
          <w:szCs w:val="32"/>
          <w:lang w:val="en-US" w:eastAsia="zh-CN"/>
          <w14:textFill>
            <w14:solidFill>
              <w14:schemeClr w14:val="tx1"/>
            </w14:solidFill>
          </w14:textFill>
        </w:rPr>
        <w:t>五、调查发现的其他问题</w:t>
      </w:r>
      <w:bookmarkEnd w:id="21"/>
    </w:p>
    <w:p w14:paraId="5170F71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1.旅客在体验游艇租赁服务过程中，存在离艇体验摩托艇、下海游泳、海钓等较高安全风险项目，但旅游经营者缺乏离艇高风险项目的安全风险管控措施，存在较大安全隐患。</w:t>
      </w:r>
    </w:p>
    <w:p w14:paraId="3F6A147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2.异地旅游经营单位跨区域生产经营活动安全管理存在监管对象识别难、</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跨地域监管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责任</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协调难、法律法规适用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模糊等问题。</w:t>
      </w:r>
    </w:p>
    <w:p w14:paraId="24D7EF16">
      <w:pPr>
        <w:pStyle w:val="2"/>
        <w:keepNext w:val="0"/>
        <w:keepLines w:val="0"/>
        <w:pageBreakBefore w:val="0"/>
        <w:widowControl w:val="0"/>
        <w:kinsoku/>
        <w:wordWrap/>
        <w:overflowPunct/>
        <w:topLinePunct w:val="0"/>
        <w:autoSpaceDE/>
        <w:autoSpaceDN/>
        <w:bidi w:val="0"/>
        <w:adjustRightInd/>
        <w:snapToGrid/>
        <w:spacing w:before="0" w:after="0" w:line="240" w:lineRule="auto"/>
        <w:ind w:firstLine="643" w:firstLineChars="200"/>
        <w:textAlignment w:val="auto"/>
        <w:rPr>
          <w:rFonts w:hint="default" w:ascii="黑体" w:hAnsi="黑体" w:eastAsia="黑体" w:cs="黑体"/>
          <w:b/>
          <w:color w:val="000000" w:themeColor="text1"/>
          <w:sz w:val="32"/>
          <w:szCs w:val="32"/>
          <w:lang w:val="en-US" w:eastAsia="zh-CN"/>
          <w14:textFill>
            <w14:solidFill>
              <w14:schemeClr w14:val="tx1"/>
            </w14:solidFill>
          </w14:textFill>
        </w:rPr>
      </w:pPr>
      <w:bookmarkStart w:id="22" w:name="_Toc19032"/>
      <w:r>
        <w:rPr>
          <w:rFonts w:hint="eastAsia" w:ascii="黑体" w:hAnsi="黑体" w:eastAsia="黑体" w:cs="黑体"/>
          <w:b/>
          <w:color w:val="000000" w:themeColor="text1"/>
          <w:sz w:val="32"/>
          <w:szCs w:val="32"/>
          <w:lang w:val="en-US" w:eastAsia="zh-CN"/>
          <w14:textFill>
            <w14:solidFill>
              <w14:schemeClr w14:val="tx1"/>
            </w14:solidFill>
          </w14:textFill>
        </w:rPr>
        <w:t>六、事故处理建议</w:t>
      </w:r>
      <w:bookmarkEnd w:id="22"/>
    </w:p>
    <w:p w14:paraId="6294A912">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（一）事故责任人员</w:t>
      </w:r>
    </w:p>
    <w:p w14:paraId="0451F9A1">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张某馨、王某，作为游客在“子硕号”游艇体验旅游服务过程中，未遵守水上旅游安全警示，在现场工作人员的劝阻下依然冒险行动，未穿戴救生衣的张某馨被下海失去重心的王某拉扯落水，是导致张某馨落水溺亡的直接原因。张某馨、王某作为完全民事行为能力人，应自行承担事故后果的法律责任，若后续此事件涉及刑事案件，建议由公安机关立案侦查。</w:t>
      </w:r>
    </w:p>
    <w:p w14:paraId="20988BAC">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梁某、吴某彪，事发时作为“子硕号”游艇的游艇操作员和工作人员，两人对游艇上游客的现场组织与安全管控不到位，对事故的发生负有间接责任。责成海畅商贸有限公司按公司规章制度对其进行调查、考核与处罚，并将调查处置情况报备三亚市交通运输部门。</w:t>
      </w:r>
    </w:p>
    <w:p w14:paraId="68373C6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3.张某军，作为海畅商贸有限公司法定代表人，未认真履行安全生产工作第一责任人职责，对事故的发生负有一定管理责任，建议行政执法部门依据《中华人民共和国安全生产法》第九十五条第一款</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1"/>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，对其实施行政处罚。</w:t>
      </w:r>
    </w:p>
    <w:p w14:paraId="5AA3D703">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（二）事故责任单位</w:t>
      </w:r>
    </w:p>
    <w:p w14:paraId="1F60B2D9">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海畅商贸有限公司。对于水上旅游可预见的重大安全风险认识不足，对游艇出海的安全风险管控不到位，未严格落实安全教育培训制度，在未有效制止游客冒险行动的情况下，现场工作人员没有采取进一步安全防护与应急准备措施，对事故的发生负有一定安全责任，建议行政执法部门根据《中华人民共和国安全生产法》第一百一十四条第一款</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2"/>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，对其实施行政处罚。</w:t>
      </w:r>
    </w:p>
    <w:p w14:paraId="7E71C52B">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三亚艇浪漫商务服务有限公司。未建立全员安全生产责任制，未与游艇出租方签订专门的安全生产管理协议或在租赁合同中未明确双方各自的安全生产管理职责，未对合作方的安全生产工作进行统一协调与管理；未履行安全风险提示义务，未按合同要求为游艇接待服务购买足额保单，对事故发生负有一定安全责任。建议行政执法部门根据《中华人民共和国安全生产法》第九十四条、第一百零三条</w:t>
      </w:r>
      <w:r>
        <w:rPr>
          <w:rStyle w:val="21"/>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3"/>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等相关规定，对其违法行为进行调查处理。</w:t>
      </w:r>
    </w:p>
    <w:p w14:paraId="54EB16EA">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3.海南百事通国际旅行社有限公司。公司与旅游者签订包价旅游合同时，事前对旅游活动中的较高风险项目的</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安全风险预警和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安全</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提示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缺失；未对合作方安全生产工作进行统一协调和管理，对事故发生负有一定安全责任。建议事发所在地旅文部门依照部门职能和权限做进一步调查取证，并将其违法行为移交该公司注册所在地行政主管部门调查处理。</w:t>
      </w:r>
    </w:p>
    <w:p w14:paraId="71C40D4A">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Fonts w:hint="eastAsia" w:eastAsiaTheme="minorEastAsia"/>
          <w:lang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4.经调查涉事游艇租赁企业，发现存在上岗人员培训考核机制落实不到位、对合作方协调管理不规范等问题。三亚市交通运输局作为行业主管部门，在安全监管工作方面存在欠缺。建议三亚市交通运输局依据职能和权限开展进一步调查与处置，并向三亚市防灾减灾救灾和安全生产委员会报告。 </w:t>
      </w:r>
    </w:p>
    <w:p w14:paraId="6416A47E">
      <w:pPr>
        <w:keepNext w:val="0"/>
        <w:keepLines w:val="0"/>
        <w:pageBreakBefore w:val="0"/>
        <w:widowControl w:val="0"/>
        <w:numPr>
          <w:ilvl w:val="0"/>
          <w:numId w:val="0"/>
        </w:numPr>
        <w:kinsoku/>
        <w:wordWrap/>
        <w:overflowPunct/>
        <w:topLinePunct w:val="0"/>
        <w:autoSpaceDE/>
        <w:autoSpaceDN/>
        <w:bidi w:val="0"/>
        <w:adjustRightInd/>
        <w:snapToGrid/>
        <w:ind w:left="0" w:firstLine="640" w:firstLineChars="200"/>
        <w:jc w:val="both"/>
        <w:textAlignment w:val="auto"/>
        <w:outlineLvl w:val="0"/>
        <w:rPr>
          <w:rFonts w:hint="default" w:ascii="黑体" w:hAnsi="黑体" w:eastAsia="黑体" w:cs="黑体"/>
          <w:color w:val="000000" w:themeColor="text1"/>
          <w:sz w:val="32"/>
          <w:szCs w:val="32"/>
          <w:lang w:val="en-US" w:eastAsia="zh-CN"/>
          <w14:textFill>
            <w14:solidFill>
              <w14:schemeClr w14:val="tx1"/>
            </w14:solidFill>
          </w14:textFill>
        </w:rPr>
      </w:pPr>
      <w:bookmarkStart w:id="23" w:name="_Toc15329"/>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default" w:ascii="黑体" w:hAnsi="黑体" w:eastAsia="黑体" w:cs="黑体"/>
          <w:color w:val="000000" w:themeColor="text1"/>
          <w:sz w:val="32"/>
          <w:szCs w:val="32"/>
          <w:lang w:val="en-US" w:eastAsia="zh-CN"/>
          <w14:textFill>
            <w14:solidFill>
              <w14:schemeClr w14:val="tx1"/>
            </w14:solidFill>
          </w14:textFill>
        </w:rPr>
        <w:t>事故整改</w:t>
      </w:r>
      <w:r>
        <w:rPr>
          <w:rFonts w:hint="eastAsia" w:ascii="黑体" w:hAnsi="黑体" w:eastAsia="黑体" w:cs="黑体"/>
          <w:color w:val="000000" w:themeColor="text1"/>
          <w:sz w:val="32"/>
          <w:szCs w:val="32"/>
          <w:lang w:val="en-US" w:eastAsia="zh-CN"/>
          <w14:textFill>
            <w14:solidFill>
              <w14:schemeClr w14:val="tx1"/>
            </w14:solidFill>
          </w14:textFill>
        </w:rPr>
        <w:t>和</w:t>
      </w:r>
      <w:r>
        <w:rPr>
          <w:rFonts w:hint="default" w:ascii="黑体" w:hAnsi="黑体" w:eastAsia="黑体" w:cs="黑体"/>
          <w:color w:val="000000" w:themeColor="text1"/>
          <w:sz w:val="32"/>
          <w:szCs w:val="32"/>
          <w:lang w:val="en-US" w:eastAsia="zh-CN"/>
          <w14:textFill>
            <w14:solidFill>
              <w14:schemeClr w14:val="tx1"/>
            </w14:solidFill>
          </w14:textFill>
        </w:rPr>
        <w:t>防范</w:t>
      </w:r>
      <w:r>
        <w:rPr>
          <w:rFonts w:hint="eastAsia" w:ascii="黑体" w:hAnsi="黑体" w:eastAsia="黑体" w:cs="黑体"/>
          <w:color w:val="000000" w:themeColor="text1"/>
          <w:sz w:val="32"/>
          <w:szCs w:val="32"/>
          <w:lang w:val="en-US" w:eastAsia="zh-CN"/>
          <w14:textFill>
            <w14:solidFill>
              <w14:schemeClr w14:val="tx1"/>
            </w14:solidFill>
          </w14:textFill>
        </w:rPr>
        <w:t>措施</w:t>
      </w:r>
      <w:r>
        <w:rPr>
          <w:rFonts w:hint="default" w:ascii="黑体" w:hAnsi="黑体" w:eastAsia="黑体" w:cs="黑体"/>
          <w:color w:val="000000" w:themeColor="text1"/>
          <w:sz w:val="32"/>
          <w:szCs w:val="32"/>
          <w:lang w:val="en-US" w:eastAsia="zh-CN"/>
          <w14:textFill>
            <w14:solidFill>
              <w14:schemeClr w14:val="tx1"/>
            </w14:solidFill>
          </w14:textFill>
        </w:rPr>
        <w:t>建议</w:t>
      </w:r>
      <w:bookmarkEnd w:id="23"/>
    </w:p>
    <w:p w14:paraId="3A4F8361">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针对该起事故原因及暴露出的问题，事故调查组提出如下事故防范和整改建议：</w:t>
      </w:r>
    </w:p>
    <w:p w14:paraId="157E21DB">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24" w:name="_Toc24602"/>
      <w:bookmarkStart w:id="25" w:name="_Toc22995"/>
      <w:bookmarkStart w:id="26" w:name="_Toc14265"/>
      <w:bookmarkStart w:id="27" w:name="_Toc13269"/>
      <w:r>
        <w:rPr>
          <w:rFonts w:hint="default" w:ascii="楷体" w:hAnsi="楷体" w:eastAsia="楷体" w:cs="楷体"/>
          <w:b w:val="0"/>
          <w:bCs w:val="0"/>
          <w:color w:val="000000" w:themeColor="text1"/>
          <w:sz w:val="32"/>
          <w:szCs w:val="32"/>
          <w:lang w:val="en-US" w:eastAsia="zh-CN"/>
          <w14:textFill>
            <w14:solidFill>
              <w14:schemeClr w14:val="tx1"/>
            </w14:solidFill>
          </w14:textFill>
        </w:rPr>
        <w:t>（一）落实企业安全生产主体责任，建立健全</w:t>
      </w:r>
      <w:r>
        <w:rPr>
          <w:rFonts w:hint="eastAsia" w:ascii="楷体" w:hAnsi="楷体" w:eastAsia="楷体" w:cs="楷体"/>
          <w:b w:val="0"/>
          <w:bCs w:val="0"/>
          <w:color w:val="000000" w:themeColor="text1"/>
          <w:sz w:val="32"/>
          <w:szCs w:val="32"/>
          <w:lang w:val="en-US" w:eastAsia="zh-CN"/>
          <w14:textFill>
            <w14:solidFill>
              <w14:schemeClr w14:val="tx1"/>
            </w14:solidFill>
          </w14:textFill>
        </w:rPr>
        <w:t>风险防范化解机制</w:t>
      </w:r>
      <w:r>
        <w:rPr>
          <w:rFonts w:hint="default" w:ascii="楷体" w:hAnsi="楷体" w:eastAsia="楷体" w:cs="楷体"/>
          <w:b w:val="0"/>
          <w:bCs w:val="0"/>
          <w:color w:val="000000" w:themeColor="text1"/>
          <w:sz w:val="32"/>
          <w:szCs w:val="32"/>
          <w:lang w:val="en-US" w:eastAsia="zh-CN"/>
          <w14:textFill>
            <w14:solidFill>
              <w14:schemeClr w14:val="tx1"/>
            </w14:solidFill>
          </w14:textFill>
        </w:rPr>
        <w:t>，</w:t>
      </w:r>
      <w:r>
        <w:rPr>
          <w:rFonts w:hint="eastAsia" w:ascii="楷体" w:hAnsi="楷体" w:eastAsia="楷体" w:cs="楷体"/>
          <w:b w:val="0"/>
          <w:bCs w:val="0"/>
          <w:color w:val="000000" w:themeColor="text1"/>
          <w:sz w:val="32"/>
          <w:szCs w:val="32"/>
          <w:lang w:val="en-US" w:eastAsia="zh-CN"/>
          <w14:textFill>
            <w14:solidFill>
              <w14:schemeClr w14:val="tx1"/>
            </w14:solidFill>
          </w14:textFill>
        </w:rPr>
        <w:t>确保安全生产</w:t>
      </w:r>
      <w:bookmarkEnd w:id="24"/>
      <w:bookmarkEnd w:id="25"/>
      <w:bookmarkEnd w:id="26"/>
      <w:bookmarkEnd w:id="27"/>
    </w:p>
    <w:p w14:paraId="033ED929">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海畅商贸有限公司应吸取教训，加强游艇运营安全管理。公司要认真吸取事故教训，全面梳理安全管理体系制度，评估游艇运营安全管理的有效性。针对本次事故暴露出的现场组织与安全管控不到位问题，切实做好问题整改，进一步建立健全安全管理体系，提升游艇工作人员的安全意识和技能水平，严防类似事故再次发生。</w:t>
      </w:r>
    </w:p>
    <w:p w14:paraId="75196C2A">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2.三亚艇浪漫商务服务有限公司应建立健全全员安全生产责任制和安全生产规章制度，对合作方（</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承包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承租方）的</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安全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生产工作</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进行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统一协调管理，严格履行旅游安全主体责任。</w:t>
      </w:r>
    </w:p>
    <w:p w14:paraId="74F85613">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3.海南百事通国际旅行社有限公司</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应严格落实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旅行社</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安全管理责任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建立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健全事故应急处置、事故报告和保险赔付制度</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对合作方（</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承包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承租方）的</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安全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生产工作</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进行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统一协调管理，定期开展事故</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隐患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排查整治工作，保障游客生命财产安全。</w:t>
      </w:r>
    </w:p>
    <w:p w14:paraId="3869E10D">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28" w:name="_Toc27347"/>
      <w:bookmarkStart w:id="29" w:name="_Toc2244"/>
      <w:r>
        <w:rPr>
          <w:rFonts w:hint="default" w:ascii="楷体" w:hAnsi="楷体" w:eastAsia="楷体" w:cs="楷体"/>
          <w:b w:val="0"/>
          <w:bCs w:val="0"/>
          <w:color w:val="000000" w:themeColor="text1"/>
          <w:sz w:val="32"/>
          <w:szCs w:val="32"/>
          <w:lang w:val="en-US" w:eastAsia="zh-CN"/>
          <w14:textFill>
            <w14:solidFill>
              <w14:schemeClr w14:val="tx1"/>
            </w14:solidFill>
          </w14:textFill>
        </w:rPr>
        <w:t>（</w:t>
      </w:r>
      <w:r>
        <w:rPr>
          <w:rFonts w:hint="eastAsia" w:ascii="楷体" w:hAnsi="楷体" w:eastAsia="楷体" w:cs="楷体"/>
          <w:b w:val="0"/>
          <w:bCs w:val="0"/>
          <w:color w:val="000000" w:themeColor="text1"/>
          <w:sz w:val="32"/>
          <w:szCs w:val="32"/>
          <w:lang w:val="en-US" w:eastAsia="zh-CN"/>
          <w14:textFill>
            <w14:solidFill>
              <w14:schemeClr w14:val="tx1"/>
            </w14:solidFill>
          </w14:textFill>
        </w:rPr>
        <w:t>二</w:t>
      </w:r>
      <w:r>
        <w:rPr>
          <w:rFonts w:hint="default" w:ascii="楷体" w:hAnsi="楷体" w:eastAsia="楷体" w:cs="楷体"/>
          <w:b w:val="0"/>
          <w:bCs w:val="0"/>
          <w:color w:val="000000" w:themeColor="text1"/>
          <w:sz w:val="32"/>
          <w:szCs w:val="32"/>
          <w:lang w:val="en-US" w:eastAsia="zh-CN"/>
          <w14:textFill>
            <w14:solidFill>
              <w14:schemeClr w14:val="tx1"/>
            </w14:solidFill>
          </w14:textFill>
        </w:rPr>
        <w:t>）</w:t>
      </w:r>
      <w:r>
        <w:rPr>
          <w:rFonts w:hint="eastAsia" w:ascii="楷体" w:hAnsi="楷体" w:eastAsia="楷体" w:cs="楷体"/>
          <w:b w:val="0"/>
          <w:bCs w:val="0"/>
          <w:color w:val="000000" w:themeColor="text1"/>
          <w:sz w:val="32"/>
          <w:szCs w:val="32"/>
          <w:lang w:val="en-US" w:eastAsia="zh-CN"/>
          <w14:textFill>
            <w14:solidFill>
              <w14:schemeClr w14:val="tx1"/>
            </w14:solidFill>
          </w14:textFill>
        </w:rPr>
        <w:t>加强游艇租赁行业安全监督管理</w:t>
      </w:r>
      <w:bookmarkEnd w:id="28"/>
      <w:bookmarkEnd w:id="29"/>
    </w:p>
    <w:p w14:paraId="2A8A7A5C">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1.三亚市交通运输部门应进一步规范游艇出游安全管理，督促游艇租赁企业在组织开展业务活动前规范游客行为与风险告知，明确禁止行为以及责任划分，主动引导游客遵守安全规范。</w:t>
      </w:r>
    </w:p>
    <w:p w14:paraId="66C63B07">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2.三亚市交通运输部门与</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海事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部门应汲取本次事故教训，</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聚焦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游艇租赁行业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风险隐患和违法行为，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通过强化安全培训教育，开展联合监督检查和专项整治等，</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建立健全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游艇租赁行业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安全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监督管理机制</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14:paraId="062A464D">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bookmarkStart w:id="30" w:name="_Toc26141"/>
      <w:bookmarkStart w:id="31" w:name="_Toc23625"/>
      <w:r>
        <w:rPr>
          <w:rFonts w:hint="eastAsia" w:ascii="楷体" w:hAnsi="楷体" w:eastAsia="楷体" w:cs="楷体"/>
          <w:b w:val="0"/>
          <w:bCs w:val="0"/>
          <w:color w:val="000000" w:themeColor="text1"/>
          <w:sz w:val="32"/>
          <w:szCs w:val="32"/>
          <w:lang w:val="en-US" w:eastAsia="zh-CN"/>
          <w14:textFill>
            <w14:solidFill>
              <w14:schemeClr w14:val="tx1"/>
            </w14:solidFill>
          </w14:textFill>
        </w:rPr>
        <w:t>（三）强化异地旅游经营单位的行业监管</w:t>
      </w:r>
      <w:bookmarkEnd w:id="30"/>
      <w:bookmarkEnd w:id="31"/>
    </w:p>
    <w:p w14:paraId="067644D1">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三亚市旅文部门应建立健全协调沟通与信息共享机制，督促异地旅行社落实安全生产主体责任，实现对旅行社经营服务质量的全程可追溯管理，推动旅游市场的健康、稳定发展。</w:t>
      </w:r>
    </w:p>
    <w:p w14:paraId="0A035602">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bookmarkStart w:id="32" w:name="_Toc16569"/>
      <w:bookmarkStart w:id="33" w:name="_Toc16915"/>
      <w:r>
        <w:rPr>
          <w:rFonts w:hint="eastAsia" w:ascii="楷体" w:hAnsi="楷体" w:eastAsia="楷体" w:cs="楷体"/>
          <w:b w:val="0"/>
          <w:bCs w:val="0"/>
          <w:color w:val="000000" w:themeColor="text1"/>
          <w:sz w:val="32"/>
          <w:szCs w:val="32"/>
          <w:lang w:val="en-US" w:eastAsia="zh-CN"/>
          <w14:textFill>
            <w14:solidFill>
              <w14:schemeClr w14:val="tx1"/>
            </w14:solidFill>
          </w14:textFill>
        </w:rPr>
        <w:t>（四）细化新兴行业领域的安全生产监督管理和联防机制</w:t>
      </w:r>
      <w:bookmarkEnd w:id="32"/>
      <w:bookmarkEnd w:id="33"/>
    </w:p>
    <w:p w14:paraId="1C0B2108">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区属地政府应组织有关主管部门建立完善安全风险评估与论证机制，应按照位置相邻、行业相近、业态相似原则，明确行业安全监管部门。对于属地责任未界定，或行业监管责任存在交叉、空白等不明确的情况，应在市委、市政府统筹协调下，建立以属地区政府（行业主管部门）牵头组织、相关区政府和行业主管部门配合的安全联控联防机制，防范生产安全事故。</w:t>
      </w:r>
    </w:p>
    <w:sectPr>
      <w:footerReference r:id="rId6"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66A2A9-C394-486C-8982-BF6BE7147F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altName w:val="微软雅黑"/>
    <w:panose1 w:val="02010601030101010101"/>
    <w:charset w:val="86"/>
    <w:family w:val="auto"/>
    <w:pitch w:val="default"/>
    <w:sig w:usb0="00000000" w:usb1="00000000" w:usb2="00000000" w:usb3="00000000" w:csb0="00040000" w:csb1="00000000"/>
    <w:embedRegular r:id="rId2" w:fontKey="{B8A71885-5F40-4760-A8CF-F3252B5208DB}"/>
  </w:font>
  <w:font w:name="仿宋_GB2312">
    <w:panose1 w:val="02010609030101010101"/>
    <w:charset w:val="86"/>
    <w:family w:val="auto"/>
    <w:pitch w:val="default"/>
    <w:sig w:usb0="00000001" w:usb1="080E0000" w:usb2="00000000" w:usb3="00000000" w:csb0="00040000" w:csb1="00000000"/>
    <w:embedRegular r:id="rId3" w:fontKey="{52B5B5BE-CF93-4AEA-AF27-8447F595CA4B}"/>
  </w:font>
  <w:font w:name="楷体">
    <w:panose1 w:val="02010609060101010101"/>
    <w:charset w:val="86"/>
    <w:family w:val="auto"/>
    <w:pitch w:val="default"/>
    <w:sig w:usb0="800002BF" w:usb1="38CF7CFA" w:usb2="00000016" w:usb3="00000000" w:csb0="00040001" w:csb1="00000000"/>
    <w:embedRegular r:id="rId4" w:fontKey="{FA34CE9F-224A-4022-A529-E0B3F0F228B9}"/>
  </w:font>
  <w:font w:name="仿宋">
    <w:panose1 w:val="02010609060101010101"/>
    <w:charset w:val="86"/>
    <w:family w:val="auto"/>
    <w:pitch w:val="default"/>
    <w:sig w:usb0="800002BF" w:usb1="38CF7CFA" w:usb2="00000016" w:usb3="00000000" w:csb0="00040001" w:csb1="00000000"/>
    <w:embedRegular r:id="rId5" w:fontKey="{D5856322-55CF-4429-B8DD-19B52B49795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70F3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769C">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9565F3">
                          <w:pPr>
                            <w:pStyle w:val="7"/>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页 共 </w:t>
                          </w:r>
                          <w:r>
                            <w:rPr>
                              <w:rFonts w:hint="eastAsia" w:asciiTheme="minorEastAsia" w:hAnsiTheme="minorEastAsia" w:cstheme="minorEastAsia"/>
                              <w:sz w:val="21"/>
                              <w:szCs w:val="21"/>
                              <w:lang w:val="en-US" w:eastAsia="zh-CN"/>
                            </w:rPr>
                            <w:t>29</w:t>
                          </w:r>
                          <w:r>
                            <w:rPr>
                              <w:rFonts w:hint="eastAsia" w:asciiTheme="minorEastAsia" w:hAnsiTheme="minorEastAsia" w:eastAsiaTheme="minorEastAsia" w:cstheme="minorEastAsia"/>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9565F3">
                    <w:pPr>
                      <w:pStyle w:val="7"/>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第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页 共 </w:t>
                    </w:r>
                    <w:r>
                      <w:rPr>
                        <w:rFonts w:hint="eastAsia" w:asciiTheme="minorEastAsia" w:hAnsiTheme="minorEastAsia" w:cstheme="minorEastAsia"/>
                        <w:sz w:val="21"/>
                        <w:szCs w:val="21"/>
                        <w:lang w:val="en-US" w:eastAsia="zh-CN"/>
                      </w:rPr>
                      <w:t>29</w:t>
                    </w:r>
                    <w:r>
                      <w:rPr>
                        <w:rFonts w:hint="eastAsia" w:asciiTheme="minorEastAsia" w:hAnsiTheme="minorEastAsia" w:eastAsiaTheme="minorEastAsia" w:cstheme="minorEastAsia"/>
                        <w:sz w:val="21"/>
                        <w:szCs w:val="21"/>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footnote>
  <w:footnote w:type="continuationSeparator" w:id="29">
    <w:p/>
  </w:footnote>
  <w:footnote w:id="0">
    <w:p w14:paraId="565D7896">
      <w:pPr>
        <w:pStyle w:val="10"/>
        <w:snapToGrid w:val="0"/>
        <w:rPr>
          <w:rFonts w:hint="default" w:asciiTheme="minorEastAsia" w:hAnsiTheme="minorEastAsia" w:eastAsiaTheme="minorEastAsia" w:cstheme="minorEastAsia"/>
          <w:color w:val="000000" w:themeColor="text1"/>
          <w:kern w:val="2"/>
          <w:sz w:val="18"/>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18"/>
          <w:szCs w:val="24"/>
          <w:lang w:val="en-US" w:eastAsia="zh-CN" w:bidi="ar-SA"/>
          <w14:textFill>
            <w14:solidFill>
              <w14:schemeClr w14:val="tx1"/>
            </w14:solidFill>
          </w14:textFill>
        </w:rPr>
        <w:footnoteRef/>
      </w:r>
      <w:r>
        <w:rPr>
          <w:rFonts w:hint="eastAsia" w:asciiTheme="minorEastAsia" w:hAnsiTheme="minorEastAsia" w:eastAsiaTheme="minorEastAsia" w:cstheme="minorEastAsia"/>
          <w:b/>
          <w:bCs/>
          <w:color w:val="000000" w:themeColor="text1"/>
          <w:kern w:val="2"/>
          <w:sz w:val="18"/>
          <w:szCs w:val="24"/>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18"/>
          <w:szCs w:val="24"/>
          <w:lang w:val="en-US" w:eastAsia="zh-CN" w:bidi="ar-SA"/>
          <w14:textFill>
            <w14:solidFill>
              <w14:schemeClr w14:val="tx1"/>
            </w14:solidFill>
          </w14:textFill>
        </w:rPr>
        <w:t>《三亚市人民政府办公室关于成立三亚港3号航道标海域“7.12</w:t>
      </w:r>
      <w:r>
        <w:rPr>
          <w:rFonts w:hint="eastAsia" w:asciiTheme="minorEastAsia" w:hAnsiTheme="minorEastAsia" w:cstheme="minorEastAsia"/>
          <w:color w:val="000000" w:themeColor="text1"/>
          <w:kern w:val="2"/>
          <w:sz w:val="18"/>
          <w:szCs w:val="24"/>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kern w:val="2"/>
          <w:sz w:val="18"/>
          <w:szCs w:val="24"/>
          <w:lang w:val="en-US" w:eastAsia="zh-CN" w:bidi="ar-SA"/>
          <w14:textFill>
            <w14:solidFill>
              <w14:schemeClr w14:val="tx1"/>
            </w14:solidFill>
          </w14:textFill>
        </w:rPr>
        <w:t>溺</w:t>
      </w:r>
      <w:r>
        <w:rPr>
          <w:rFonts w:hint="eastAsia" w:asciiTheme="minorEastAsia" w:hAnsiTheme="minorEastAsia" w:cstheme="minorEastAsia"/>
          <w:color w:val="000000" w:themeColor="text1"/>
          <w:kern w:val="2"/>
          <w:sz w:val="18"/>
          <w:szCs w:val="24"/>
          <w:lang w:val="en-US" w:eastAsia="zh-CN" w:bidi="ar-SA"/>
          <w14:textFill>
            <w14:solidFill>
              <w14:schemeClr w14:val="tx1"/>
            </w14:solidFill>
          </w14:textFill>
        </w:rPr>
        <w:t>亡</w:t>
      </w:r>
      <w:r>
        <w:rPr>
          <w:rFonts w:hint="eastAsia" w:asciiTheme="minorEastAsia" w:hAnsiTheme="minorEastAsia" w:eastAsiaTheme="minorEastAsia" w:cstheme="minorEastAsia"/>
          <w:color w:val="000000" w:themeColor="text1"/>
          <w:kern w:val="2"/>
          <w:sz w:val="18"/>
          <w:szCs w:val="24"/>
          <w:lang w:val="en-US" w:eastAsia="zh-CN" w:bidi="ar-SA"/>
          <w14:textFill>
            <w14:solidFill>
              <w14:schemeClr w14:val="tx1"/>
            </w14:solidFill>
          </w14:textFill>
        </w:rPr>
        <w:t>一般事故调查组的通知》</w:t>
      </w:r>
    </w:p>
  </w:footnote>
  <w:footnote w:id="1">
    <w:p w14:paraId="4655711B">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《旅游安全管理办法》</w:t>
      </w:r>
      <w:r>
        <w:rPr>
          <w:rFonts w:hint="eastAsia" w:asciiTheme="minorEastAsia" w:hAnsiTheme="minorEastAsia" w:eastAsiaTheme="minorEastAsia" w:cstheme="minorEastAsia"/>
          <w:b/>
          <w:bCs/>
          <w:kern w:val="2"/>
          <w:sz w:val="18"/>
          <w:szCs w:val="24"/>
          <w:lang w:val="en-US" w:eastAsia="zh-CN" w:bidi="ar-SA"/>
        </w:rPr>
        <w:t>第</w:t>
      </w:r>
      <w:r>
        <w:rPr>
          <w:rFonts w:hint="default" w:asciiTheme="minorEastAsia" w:hAnsiTheme="minorEastAsia" w:eastAsiaTheme="minorEastAsia" w:cstheme="minorEastAsia"/>
          <w:b/>
          <w:bCs/>
          <w:kern w:val="2"/>
          <w:sz w:val="18"/>
          <w:szCs w:val="24"/>
          <w:lang w:val="en-US" w:eastAsia="zh-CN" w:bidi="ar-SA"/>
        </w:rPr>
        <w:t>九条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旅游经营者应当对从业人员进行安全生产教育和培训，保证从业人员掌握必要的安全生产知识、规章制度、操作规程、岗位技能和应急处理措施，知悉自身在安全生产方面的权利和义务。旅游经营者建立安全生产教育和培训档案，如实记录安全生产教育和培训的时间、内容、参加人员以及考核结果等情况。未经安全生产教育和培训合格的旅游从业人员，不得上岗作业；特种作业人员必须按照国家有关规定经专门的安全作业培训，取得相应资格。</w:t>
      </w:r>
      <w:r>
        <w:rPr>
          <w:rFonts w:hint="default" w:asciiTheme="minorEastAsia" w:hAnsiTheme="minorEastAsia" w:eastAsiaTheme="minorEastAsia" w:cstheme="minorEastAsia"/>
          <w:b/>
          <w:bCs/>
          <w:kern w:val="2"/>
          <w:sz w:val="18"/>
          <w:szCs w:val="24"/>
          <w:lang w:val="en-US" w:eastAsia="zh-CN" w:bidi="ar-SA"/>
        </w:rPr>
        <w:t>第十条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旅游经营者应当主动询问与旅游活动相关的个人健康信息，要求旅游者按照明示的安全规程，使用旅游设施和接受服务，并要求旅游者对旅游经营者采取的安全防范措施予以配合。</w:t>
      </w:r>
    </w:p>
  </w:footnote>
  <w:footnote w:id="2">
    <w:p w14:paraId="10ADFB55">
      <w:pPr>
        <w:pStyle w:val="25"/>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asciiTheme="minorEastAsia" w:hAnsi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w:t>
      </w:r>
      <w:r>
        <w:rPr>
          <w:rFonts w:hint="eastAsia" w:asciiTheme="minorEastAsia" w:hAnsiTheme="minorEastAsia" w:cstheme="minorEastAsia"/>
          <w:kern w:val="2"/>
          <w:sz w:val="18"/>
          <w:szCs w:val="24"/>
          <w:lang w:val="en-US" w:eastAsia="zh-CN" w:bidi="ar-SA"/>
        </w:rPr>
        <w:t>三亚市水上旅游管理办法</w:t>
      </w:r>
      <w:r>
        <w:rPr>
          <w:rFonts w:hint="eastAsia" w:asciiTheme="minorEastAsia" w:hAnsiTheme="minorEastAsia" w:eastAsiaTheme="minorEastAsia" w:cstheme="minorEastAsia"/>
          <w:kern w:val="2"/>
          <w:sz w:val="18"/>
          <w:szCs w:val="24"/>
          <w:lang w:val="en-US" w:eastAsia="zh-CN" w:bidi="ar-SA"/>
        </w:rPr>
        <w:t>》</w:t>
      </w:r>
      <w:r>
        <w:rPr>
          <w:rFonts w:hint="eastAsia" w:asciiTheme="minorEastAsia" w:hAnsiTheme="minorEastAsia" w:eastAsiaTheme="minorEastAsia" w:cstheme="minorEastAsia"/>
          <w:b/>
          <w:bCs/>
          <w:kern w:val="2"/>
          <w:sz w:val="18"/>
          <w:szCs w:val="24"/>
          <w:lang w:val="en-US" w:eastAsia="zh-CN" w:bidi="ar-SA"/>
        </w:rPr>
        <w:t>第</w:t>
      </w:r>
      <w:r>
        <w:rPr>
          <w:rFonts w:hint="eastAsia" w:asciiTheme="minorEastAsia" w:hAnsiTheme="minorEastAsia" w:cstheme="minorEastAsia"/>
          <w:b/>
          <w:bCs/>
          <w:kern w:val="2"/>
          <w:sz w:val="18"/>
          <w:szCs w:val="24"/>
          <w:lang w:val="en-US" w:eastAsia="zh-CN" w:bidi="ar-SA"/>
        </w:rPr>
        <w:t>二十条</w:t>
      </w:r>
      <w:r>
        <w:rPr>
          <w:rFonts w:hint="eastAsia" w:asciiTheme="minorEastAsia" w:hAnsiTheme="minorEastAsia" w:cstheme="minorEastAsia"/>
          <w:kern w:val="2"/>
          <w:sz w:val="18"/>
          <w:szCs w:val="24"/>
          <w:lang w:val="en-US" w:eastAsia="zh-CN" w:bidi="ar-SA"/>
        </w:rPr>
        <w:t>：水上旅游从业人员应当依法持有符合规定要求的从业资格证明或者技能证书。尚无法定要求的，水上旅游经营者应当结合水上旅游项目实际，建立培训考核制度，定期对从业人员进行培训，考核合格后方可上岗。</w:t>
      </w:r>
      <w:r>
        <w:rPr>
          <w:rFonts w:hint="eastAsia" w:asciiTheme="minorEastAsia" w:hAnsiTheme="minorEastAsia" w:eastAsiaTheme="minorEastAsia" w:cstheme="minorEastAsia"/>
          <w:b/>
          <w:bCs/>
          <w:kern w:val="2"/>
          <w:sz w:val="18"/>
          <w:szCs w:val="24"/>
          <w:lang w:val="en-US" w:eastAsia="zh-CN" w:bidi="ar-SA"/>
        </w:rPr>
        <w:t>第二十一条</w:t>
      </w:r>
      <w:r>
        <w:rPr>
          <w:rFonts w:hint="eastAsia" w:asciiTheme="minorEastAsia" w:hAnsiTheme="minorEastAsia" w:cstheme="minorEastAsia"/>
          <w:kern w:val="2"/>
          <w:sz w:val="18"/>
          <w:szCs w:val="24"/>
          <w:lang w:val="en-US" w:eastAsia="zh-CN" w:bidi="ar-SA"/>
        </w:rPr>
        <w:t>：水上旅游经营者应当强化旅游安全责任意识，建立并落实旅游安全责任制。</w:t>
      </w:r>
      <w:r>
        <w:rPr>
          <w:rFonts w:hint="eastAsia" w:asciiTheme="minorEastAsia" w:hAnsiTheme="minorEastAsia" w:eastAsiaTheme="minorEastAsia" w:cstheme="minorEastAsia"/>
          <w:b/>
          <w:bCs/>
          <w:kern w:val="2"/>
          <w:sz w:val="18"/>
          <w:szCs w:val="24"/>
          <w:lang w:val="en-US" w:eastAsia="zh-CN" w:bidi="ar-SA"/>
        </w:rPr>
        <w:t>第二十二条</w:t>
      </w:r>
      <w:r>
        <w:rPr>
          <w:rFonts w:hint="eastAsia" w:asciiTheme="minorEastAsia" w:hAnsiTheme="minorEastAsia" w:cstheme="minorEastAsia"/>
          <w:kern w:val="2"/>
          <w:sz w:val="18"/>
          <w:szCs w:val="24"/>
          <w:lang w:val="en-US" w:eastAsia="zh-CN" w:bidi="ar-SA"/>
        </w:rPr>
        <w:t>：水上旅游经营者应当对旅游者进行安全培训，充分说明水上旅游项目的安全注意事项和应急措施，明确警示可能危及人身、财产安全的风险和不适宜参加水上旅游活动的各种情形。</w:t>
      </w:r>
    </w:p>
  </w:footnote>
  <w:footnote w:id="3">
    <w:p w14:paraId="62016A6B">
      <w:pPr>
        <w:pStyle w:val="25"/>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asciiTheme="minorEastAsia" w:hAnsi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w:t>
      </w:r>
      <w:r>
        <w:rPr>
          <w:rFonts w:hint="eastAsia" w:asciiTheme="minorEastAsia" w:hAnsiTheme="minorEastAsia" w:cstheme="minorEastAsia"/>
          <w:kern w:val="2"/>
          <w:sz w:val="18"/>
          <w:szCs w:val="24"/>
          <w:lang w:val="en-US" w:eastAsia="zh-CN" w:bidi="ar-SA"/>
        </w:rPr>
        <w:t>游艇安全管理规定</w:t>
      </w:r>
      <w:r>
        <w:rPr>
          <w:rFonts w:hint="eastAsia" w:asciiTheme="minorEastAsia" w:hAnsiTheme="minorEastAsia" w:eastAsiaTheme="minorEastAsia" w:cstheme="minorEastAsia"/>
          <w:kern w:val="2"/>
          <w:sz w:val="18"/>
          <w:szCs w:val="24"/>
          <w:lang w:val="en-US" w:eastAsia="zh-CN" w:bidi="ar-SA"/>
        </w:rPr>
        <w:t>》</w:t>
      </w:r>
      <w:r>
        <w:rPr>
          <w:rFonts w:hint="eastAsia" w:asciiTheme="minorEastAsia" w:hAnsiTheme="minorEastAsia" w:eastAsiaTheme="minorEastAsia" w:cstheme="minorEastAsia"/>
          <w:b/>
          <w:bCs/>
          <w:kern w:val="2"/>
          <w:sz w:val="18"/>
          <w:szCs w:val="24"/>
          <w:lang w:val="en-US" w:eastAsia="zh-CN" w:bidi="ar-SA"/>
        </w:rPr>
        <w:t>第</w:t>
      </w:r>
      <w:r>
        <w:rPr>
          <w:rFonts w:hint="eastAsia" w:asciiTheme="minorEastAsia" w:hAnsiTheme="minorEastAsia" w:cstheme="minorEastAsia"/>
          <w:b/>
          <w:bCs/>
          <w:kern w:val="2"/>
          <w:sz w:val="18"/>
          <w:szCs w:val="24"/>
          <w:lang w:val="en-US" w:eastAsia="zh-CN" w:bidi="ar-SA"/>
        </w:rPr>
        <w:t>二十五条</w:t>
      </w:r>
      <w:r>
        <w:rPr>
          <w:rFonts w:hint="eastAsia" w:asciiTheme="minorEastAsia" w:hAnsiTheme="minorEastAsia" w:cstheme="minorEastAsia"/>
          <w:kern w:val="2"/>
          <w:sz w:val="18"/>
          <w:szCs w:val="24"/>
          <w:lang w:val="en-US" w:eastAsia="zh-CN" w:bidi="ar-SA"/>
        </w:rPr>
        <w:t>：游艇的安全和防污染由游艇所有人负责。游艇所有人应当负责游艇的日常安全管理和维护保养，确保游艇处于良好的安全、技术状态，保证游艇航行、停泊以及游艇上人员的安全。</w:t>
      </w:r>
    </w:p>
  </w:footnote>
  <w:footnote w:id="4">
    <w:p w14:paraId="6B8E2F8B">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《中华人民共和国安全生产法》</w:t>
      </w:r>
      <w:r>
        <w:rPr>
          <w:rFonts w:hint="eastAsia" w:asciiTheme="minorEastAsia" w:hAnsiTheme="minorEastAsia" w:eastAsiaTheme="minorEastAsia" w:cstheme="minorEastAsia"/>
          <w:b/>
          <w:bCs/>
          <w:kern w:val="2"/>
          <w:sz w:val="18"/>
          <w:szCs w:val="24"/>
          <w:lang w:val="en-US" w:eastAsia="zh-CN" w:bidi="ar-SA"/>
        </w:rPr>
        <w:t>第四十九</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生产经营单位不得将生产经营项目、场所、设备发包或者出租给不具备安全生产条件或者相应资质的单位或者个人。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5">
    <w:p w14:paraId="3FADD37D">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《中华人民共和国旅游法》</w:t>
      </w:r>
      <w:r>
        <w:rPr>
          <w:rFonts w:hint="eastAsia" w:asciiTheme="minorEastAsia" w:hAnsiTheme="minorEastAsia" w:eastAsiaTheme="minorEastAsia" w:cstheme="minorEastAsia"/>
          <w:b/>
          <w:bCs/>
          <w:kern w:val="2"/>
          <w:sz w:val="18"/>
          <w:szCs w:val="24"/>
          <w:lang w:val="en-US" w:eastAsia="zh-CN" w:bidi="ar-SA"/>
        </w:rPr>
        <w:t>第</w:t>
      </w:r>
      <w:r>
        <w:rPr>
          <w:rFonts w:hint="eastAsia" w:asciiTheme="minorEastAsia" w:hAnsiTheme="minorEastAsia" w:cstheme="minorEastAsia"/>
          <w:b/>
          <w:bCs/>
          <w:kern w:val="2"/>
          <w:sz w:val="18"/>
          <w:szCs w:val="24"/>
          <w:lang w:val="en-US" w:eastAsia="zh-CN" w:bidi="ar-SA"/>
        </w:rPr>
        <w:t>五</w:t>
      </w:r>
      <w:r>
        <w:rPr>
          <w:rFonts w:hint="eastAsia" w:asciiTheme="minorEastAsia" w:hAnsiTheme="minorEastAsia" w:eastAsiaTheme="minorEastAsia" w:cstheme="minorEastAsia"/>
          <w:b/>
          <w:bCs/>
          <w:kern w:val="2"/>
          <w:sz w:val="18"/>
          <w:szCs w:val="24"/>
          <w:lang w:val="en-US" w:eastAsia="zh-CN" w:bidi="ar-SA"/>
        </w:rPr>
        <w:t>十</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旅游经营者应当保证其提供的商品和服务符合保障人身、财产安全的要求。旅游经营者取得相关质量标准等级的，其设施和服务不得低于相应标准；未取得质量标准等级的，不得使用相关质量等级的称谓和标识。</w:t>
      </w:r>
    </w:p>
  </w:footnote>
  <w:footnote w:id="6">
    <w:p w14:paraId="75B8F9EC">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《旅游安全管理办法》</w:t>
      </w:r>
      <w:r>
        <w:rPr>
          <w:rFonts w:hint="eastAsia" w:asciiTheme="minorEastAsia" w:hAnsiTheme="minorEastAsia" w:eastAsiaTheme="minorEastAsia" w:cstheme="minorEastAsia"/>
          <w:b/>
          <w:bCs/>
          <w:kern w:val="2"/>
          <w:sz w:val="18"/>
          <w:szCs w:val="24"/>
          <w:lang w:val="en-US" w:eastAsia="zh-CN" w:bidi="ar-SA"/>
        </w:rPr>
        <w:t>第四</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旅游经营者应当承担旅游安全的主体责任，加强安全管理，建立、健全安全管理制度，关注安全风险预警和提示，妥善应对旅游突发事件。旅游从业人员应当严格遵守本单位的安全管理制度，接受安全生产教育和培训，增强旅游突发事件防范和应急处理能力。</w:t>
      </w:r>
      <w:r>
        <w:rPr>
          <w:rFonts w:hint="eastAsia" w:asciiTheme="minorEastAsia" w:hAnsiTheme="minorEastAsia" w:eastAsiaTheme="minorEastAsia" w:cstheme="minorEastAsia"/>
          <w:b/>
          <w:bCs/>
          <w:kern w:val="2"/>
          <w:sz w:val="18"/>
          <w:szCs w:val="24"/>
          <w:lang w:val="en-US" w:eastAsia="zh-CN" w:bidi="ar-SA"/>
        </w:rPr>
        <w:t>第八条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旅游经营者应当对其提供的产品和服务进行风险监测和安全评估，依法履行安全风险提示义务，必要时应当采取暂停服务、调整活动内容等措施。经营高风险旅游项目或者向老年人、未成年人、残疾人提供旅游服务的，应当根据需要采取相应的安全保护措施。</w:t>
      </w:r>
    </w:p>
  </w:footnote>
  <w:footnote w:id="7">
    <w:p w14:paraId="22806442">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《中华人民共和国安全生产法》</w:t>
      </w:r>
      <w:r>
        <w:rPr>
          <w:rFonts w:hint="eastAsia" w:asciiTheme="minorEastAsia" w:hAnsiTheme="minorEastAsia" w:eastAsiaTheme="minorEastAsia" w:cstheme="minorEastAsia"/>
          <w:b/>
          <w:bCs/>
          <w:kern w:val="2"/>
          <w:sz w:val="18"/>
          <w:szCs w:val="24"/>
          <w:lang w:val="en-US" w:eastAsia="zh-CN" w:bidi="ar-SA"/>
        </w:rPr>
        <w:t>第四十九</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生产经营单位不得将生产经营项目、场所、设备发包或者出租给不具备安全生产条件或者相应资质的单位或者个人。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8">
    <w:p w14:paraId="0EDF5C9C">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中华人民共和国旅游法</w:t>
      </w:r>
      <w:r>
        <w:rPr>
          <w:rFonts w:hint="eastAsia" w:asciiTheme="minorEastAsia" w:hAnsiTheme="minorEastAsia" w:eastAsiaTheme="minorEastAsia" w:cstheme="minorEastAsia"/>
          <w:kern w:val="2"/>
          <w:sz w:val="18"/>
          <w:szCs w:val="24"/>
          <w:lang w:val="en-US" w:eastAsia="zh-CN" w:bidi="ar-SA"/>
        </w:rPr>
        <w:t>》</w:t>
      </w:r>
      <w:r>
        <w:rPr>
          <w:rFonts w:hint="eastAsia" w:asciiTheme="minorEastAsia" w:hAnsiTheme="minorEastAsia" w:eastAsiaTheme="minorEastAsia" w:cstheme="minorEastAsia"/>
          <w:b/>
          <w:bCs/>
          <w:kern w:val="2"/>
          <w:sz w:val="18"/>
          <w:szCs w:val="24"/>
          <w:lang w:val="en-US" w:eastAsia="zh-CN" w:bidi="ar-SA"/>
        </w:rPr>
        <w:t>第六十二</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kern w:val="2"/>
          <w:sz w:val="18"/>
          <w:szCs w:val="24"/>
          <w:lang w:val="en-US" w:eastAsia="zh-CN" w:bidi="ar-SA"/>
        </w:rPr>
        <w:t>：订立包价旅游合同时，旅行社应当向旅游者告知下列事项：</w:t>
      </w:r>
      <w:r>
        <w:rPr>
          <w:rFonts w:hint="default" w:asciiTheme="minorEastAsia" w:hAnsiTheme="minorEastAsia" w:eastAsiaTheme="minorEastAsia" w:cstheme="minorEastAsia"/>
          <w:kern w:val="2"/>
          <w:sz w:val="18"/>
          <w:szCs w:val="24"/>
          <w:lang w:val="en-US" w:eastAsia="zh-CN" w:bidi="ar-SA"/>
        </w:rPr>
        <w:t>（一）旅游者不适合参加旅游活动的情形；（二）旅游活动中的安全注意事项；（三）旅行社依法可以减免责任的信息；（四）旅游者应当注意的旅游目的地相关法律、法规和风俗习惯、宗教禁忌，依照中国法律不宜参加的活动等；（五）法律、法规规定的其他应当告知的事项。在包价旅游合同履行中，遇有前款规定事项的，旅行社也应当告知旅游者。</w:t>
      </w:r>
    </w:p>
  </w:footnote>
  <w:footnote w:id="9">
    <w:p w14:paraId="464B9E0E">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《旅游安全管理办法》</w:t>
      </w:r>
      <w:r>
        <w:rPr>
          <w:rFonts w:hint="eastAsia" w:asciiTheme="minorEastAsia" w:hAnsiTheme="minorEastAsia" w:eastAsiaTheme="minorEastAsia" w:cstheme="minorEastAsia"/>
          <w:b/>
          <w:bCs/>
          <w:kern w:val="2"/>
          <w:sz w:val="18"/>
          <w:szCs w:val="24"/>
          <w:lang w:val="en-US" w:eastAsia="zh-CN" w:bidi="ar-SA"/>
        </w:rPr>
        <w:t>第四</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旅游经营者应当承担旅游安全的主体责任，加强安全管理，建立、健全安全管理制度，关注安全风险预警和提示，妥善应对旅游突发事件。旅游从业人员应当严格遵守本单位的安全管理制度，接受安全生产教育和培训，增强旅游突发事件防范和应急处理能力。</w:t>
      </w:r>
      <w:r>
        <w:rPr>
          <w:rFonts w:hint="eastAsia" w:asciiTheme="minorEastAsia" w:hAnsiTheme="minorEastAsia" w:eastAsiaTheme="minorEastAsia" w:cstheme="minorEastAsia"/>
          <w:b/>
          <w:bCs/>
          <w:kern w:val="2"/>
          <w:sz w:val="18"/>
          <w:szCs w:val="24"/>
          <w:lang w:val="en-US" w:eastAsia="zh-CN" w:bidi="ar-SA"/>
        </w:rPr>
        <w:t>第八</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旅游经营者应当对其提供的产品和服务进行风险监测和安全评估，依法履行安全风险提示义务，必要时应当采取暂停服务、调整活动内容等措施。经营高风险旅游项目或者向老年人、未成年人、残疾人提供旅游服务的，应当根据需要采取相应的安全保护措施。</w:t>
      </w:r>
    </w:p>
  </w:footnote>
  <w:footnote w:id="10">
    <w:p w14:paraId="02274A0D">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b/>
          <w:bCs/>
          <w:kern w:val="2"/>
          <w:sz w:val="18"/>
          <w:szCs w:val="24"/>
          <w:lang w:val="en-US" w:eastAsia="zh-CN" w:bidi="ar-SA"/>
        </w:rPr>
        <w:footnoteRef/>
      </w:r>
      <w:r>
        <w:rPr>
          <w:rFonts w:hint="eastAsia" w:asciiTheme="minorEastAsia" w:hAnsiTheme="minorEastAsia" w:eastAsiaTheme="minorEastAsia" w:cstheme="minorEastAsia"/>
          <w:b/>
          <w:bCs/>
          <w:kern w:val="2"/>
          <w:sz w:val="18"/>
          <w:szCs w:val="24"/>
          <w:lang w:val="en-US" w:eastAsia="zh-CN" w:bidi="ar-SA"/>
        </w:rPr>
        <w:t xml:space="preserve"> </w:t>
      </w:r>
      <w:r>
        <w:rPr>
          <w:rFonts w:hint="eastAsia" w:asciiTheme="minorEastAsia" w:hAnsiTheme="minorEastAsia" w:eastAsiaTheme="minorEastAsia" w:cstheme="minorEastAsia"/>
          <w:kern w:val="2"/>
          <w:sz w:val="18"/>
          <w:szCs w:val="24"/>
          <w:lang w:val="en-US" w:eastAsia="zh-CN" w:bidi="ar-SA"/>
        </w:rPr>
        <w:t>《生产安全事故报告和调查处理条例》</w:t>
      </w:r>
      <w:r>
        <w:rPr>
          <w:rFonts w:hint="eastAsia" w:asciiTheme="minorEastAsia" w:hAnsiTheme="minorEastAsia" w:eastAsiaTheme="minorEastAsia" w:cstheme="minorEastAsia"/>
          <w:b/>
          <w:bCs/>
          <w:kern w:val="2"/>
          <w:sz w:val="18"/>
          <w:szCs w:val="24"/>
          <w:lang w:val="en-US" w:eastAsia="zh-CN" w:bidi="ar-SA"/>
        </w:rPr>
        <w:t>第三</w:t>
      </w:r>
      <w:r>
        <w:rPr>
          <w:rFonts w:hint="default" w:asciiTheme="minorEastAsia" w:hAnsiTheme="minorEastAsia" w:eastAsiaTheme="minorEastAsia" w:cstheme="minorEastAsia"/>
          <w:b/>
          <w:bCs/>
          <w:kern w:val="2"/>
          <w:sz w:val="18"/>
          <w:szCs w:val="24"/>
          <w:lang w:val="en-US" w:eastAsia="zh-CN" w:bidi="ar-SA"/>
        </w:rPr>
        <w:t>条</w:t>
      </w:r>
      <w:r>
        <w:rPr>
          <w:rFonts w:hint="eastAsia" w:asciiTheme="minorEastAsia" w:hAnsiTheme="minorEastAsia" w:eastAsiaTheme="minorEastAsia" w:cstheme="minorEastAsia"/>
          <w:b/>
          <w:bCs/>
          <w:kern w:val="2"/>
          <w:sz w:val="18"/>
          <w:szCs w:val="24"/>
          <w:lang w:val="en-US" w:eastAsia="zh-CN" w:bidi="ar-SA"/>
        </w:rPr>
        <w:t>：</w:t>
      </w:r>
      <w:r>
        <w:rPr>
          <w:rFonts w:hint="default" w:asciiTheme="minorEastAsia" w:hAnsiTheme="minorEastAsia" w:eastAsiaTheme="minorEastAsia" w:cstheme="minorEastAsia"/>
          <w:kern w:val="2"/>
          <w:sz w:val="18"/>
          <w:szCs w:val="24"/>
          <w:lang w:val="en-US" w:eastAsia="zh-CN" w:bidi="ar-SA"/>
        </w:rPr>
        <w:t>（四）一般事故，是指造成3人以下死亡，或者10人以下重伤，或者1000万元以下直接经济损失的事故。</w:t>
      </w:r>
    </w:p>
  </w:footnote>
  <w:footnote w:id="11">
    <w:p w14:paraId="6F6D4A80">
      <w:pPr>
        <w:pStyle w:val="10"/>
        <w:snapToGrid w:val="0"/>
        <w:rPr>
          <w:rFonts w:hint="eastAsia"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kern w:val="2"/>
          <w:sz w:val="18"/>
          <w:szCs w:val="24"/>
          <w:lang w:val="en-US" w:eastAsia="zh-CN" w:bidi="ar-SA"/>
        </w:rPr>
        <w:footnoteRef/>
      </w:r>
      <w:r>
        <w:rPr>
          <w:rFonts w:hint="eastAsia" w:asciiTheme="minorEastAsia" w:hAnsiTheme="minorEastAsia" w:eastAsiaTheme="minorEastAsia" w:cstheme="minorEastAsia"/>
          <w:kern w:val="2"/>
          <w:sz w:val="18"/>
          <w:szCs w:val="24"/>
          <w:lang w:val="en-US" w:eastAsia="zh-CN" w:bidi="ar-SA"/>
        </w:rPr>
        <w:t xml:space="preserve"> 《中华人民共和国安全生产法》</w:t>
      </w:r>
      <w:r>
        <w:rPr>
          <w:rFonts w:hint="eastAsia" w:asciiTheme="minorEastAsia" w:hAnsiTheme="minorEastAsia" w:eastAsiaTheme="minorEastAsia" w:cstheme="minorEastAsia"/>
          <w:b/>
          <w:bCs/>
          <w:kern w:val="2"/>
          <w:sz w:val="18"/>
          <w:szCs w:val="24"/>
          <w:lang w:val="en-US" w:eastAsia="zh-CN" w:bidi="ar-SA"/>
        </w:rPr>
        <w:t>第九十五条：</w:t>
      </w:r>
      <w:r>
        <w:rPr>
          <w:rFonts w:hint="eastAsia" w:asciiTheme="minorEastAsia" w:hAnsiTheme="minorEastAsia" w:eastAsiaTheme="minorEastAsia" w:cstheme="minorEastAsia"/>
          <w:kern w:val="2"/>
          <w:sz w:val="18"/>
          <w:szCs w:val="24"/>
          <w:lang w:val="en-US" w:eastAsia="zh-CN" w:bidi="ar-SA"/>
        </w:rPr>
        <w:t>生产经营单位的主要负责人未履行本法规定的安全生产管理职责，导致发生生产安全事故的，由应急管理部门依照下列规定处以罚款:（</w:t>
      </w:r>
      <w:r>
        <w:rPr>
          <w:rFonts w:hint="eastAsia" w:asciiTheme="minorEastAsia" w:hAnsiTheme="minorEastAsia" w:cstheme="minorEastAsia"/>
          <w:kern w:val="2"/>
          <w:sz w:val="18"/>
          <w:szCs w:val="24"/>
          <w:lang w:val="en-US" w:eastAsia="zh-CN" w:bidi="ar-SA"/>
        </w:rPr>
        <w:t>一</w:t>
      </w:r>
      <w:r>
        <w:rPr>
          <w:rFonts w:hint="eastAsia" w:asciiTheme="minorEastAsia" w:hAnsiTheme="minorEastAsia" w:eastAsiaTheme="minorEastAsia" w:cstheme="minorEastAsia"/>
          <w:kern w:val="2"/>
          <w:sz w:val="18"/>
          <w:szCs w:val="24"/>
          <w:lang w:val="en-US" w:eastAsia="zh-CN" w:bidi="ar-SA"/>
        </w:rPr>
        <w:t>）发生</w:t>
      </w:r>
      <w:r>
        <w:rPr>
          <w:rFonts w:hint="eastAsia" w:asciiTheme="minorEastAsia" w:hAnsiTheme="minorEastAsia" w:cstheme="minorEastAsia"/>
          <w:kern w:val="2"/>
          <w:sz w:val="18"/>
          <w:szCs w:val="24"/>
          <w:lang w:val="en-US" w:eastAsia="zh-CN" w:bidi="ar-SA"/>
        </w:rPr>
        <w:t>一般</w:t>
      </w:r>
      <w:r>
        <w:rPr>
          <w:rFonts w:hint="eastAsia" w:asciiTheme="minorEastAsia" w:hAnsiTheme="minorEastAsia" w:eastAsiaTheme="minorEastAsia" w:cstheme="minorEastAsia"/>
          <w:kern w:val="2"/>
          <w:sz w:val="18"/>
          <w:szCs w:val="24"/>
          <w:lang w:val="en-US" w:eastAsia="zh-CN" w:bidi="ar-SA"/>
        </w:rPr>
        <w:t>事故的，处上一年年收入百分之</w:t>
      </w:r>
      <w:r>
        <w:rPr>
          <w:rFonts w:hint="eastAsia" w:asciiTheme="minorEastAsia" w:hAnsiTheme="minorEastAsia" w:cstheme="minorEastAsia"/>
          <w:kern w:val="2"/>
          <w:sz w:val="18"/>
          <w:szCs w:val="24"/>
          <w:lang w:val="en-US" w:eastAsia="zh-CN" w:bidi="ar-SA"/>
        </w:rPr>
        <w:t>四</w:t>
      </w:r>
      <w:r>
        <w:rPr>
          <w:rFonts w:hint="eastAsia" w:asciiTheme="minorEastAsia" w:hAnsiTheme="minorEastAsia" w:eastAsiaTheme="minorEastAsia" w:cstheme="minorEastAsia"/>
          <w:kern w:val="2"/>
          <w:sz w:val="18"/>
          <w:szCs w:val="24"/>
          <w:lang w:val="en-US" w:eastAsia="zh-CN" w:bidi="ar-SA"/>
        </w:rPr>
        <w:t>十的罚款。</w:t>
      </w:r>
    </w:p>
  </w:footnote>
  <w:footnote w:id="12">
    <w:p w14:paraId="311AA66D">
      <w:pPr>
        <w:pStyle w:val="10"/>
        <w:snapToGrid w:val="0"/>
        <w:rPr>
          <w:rFonts w:hint="eastAsia"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kern w:val="2"/>
          <w:sz w:val="18"/>
          <w:szCs w:val="24"/>
          <w:lang w:val="en-US" w:eastAsia="zh-CN" w:bidi="ar-SA"/>
        </w:rPr>
        <w:footnoteRef/>
      </w:r>
      <w:r>
        <w:rPr>
          <w:rFonts w:hint="eastAsia" w:asciiTheme="minorEastAsia" w:hAnsiTheme="minorEastAsia" w:eastAsiaTheme="minorEastAsia" w:cstheme="minorEastAsia"/>
          <w:kern w:val="2"/>
          <w:sz w:val="18"/>
          <w:szCs w:val="24"/>
          <w:lang w:val="en-US" w:eastAsia="zh-CN" w:bidi="ar-SA"/>
        </w:rPr>
        <w:t xml:space="preserve"> 《中华人民共和国安全生产法》</w:t>
      </w:r>
      <w:r>
        <w:rPr>
          <w:rFonts w:hint="eastAsia" w:asciiTheme="minorEastAsia" w:hAnsiTheme="minorEastAsia" w:eastAsiaTheme="minorEastAsia" w:cstheme="minorEastAsia"/>
          <w:b/>
          <w:bCs/>
          <w:kern w:val="2"/>
          <w:sz w:val="18"/>
          <w:szCs w:val="24"/>
          <w:lang w:val="en-US" w:eastAsia="zh-CN" w:bidi="ar-SA"/>
        </w:rPr>
        <w:t>第一百一十四条:</w:t>
      </w:r>
      <w:r>
        <w:rPr>
          <w:rFonts w:hint="eastAsia" w:asciiTheme="minorEastAsia" w:hAnsiTheme="minorEastAsia" w:eastAsiaTheme="minorEastAsia" w:cstheme="minorEastAsia"/>
          <w:kern w:val="2"/>
          <w:sz w:val="18"/>
          <w:szCs w:val="24"/>
          <w:lang w:val="en-US" w:eastAsia="zh-CN" w:bidi="ar-SA"/>
        </w:rPr>
        <w:t>发生生产安全事故，对负有责任的生产经营单位除要求其依法承担相应的赔偿等责任外，由应急管理部门依照下列规定处以罚款:（</w:t>
      </w:r>
      <w:r>
        <w:rPr>
          <w:rFonts w:hint="eastAsia" w:asciiTheme="minorEastAsia" w:hAnsiTheme="minorEastAsia" w:cstheme="minorEastAsia"/>
          <w:kern w:val="2"/>
          <w:sz w:val="18"/>
          <w:szCs w:val="24"/>
          <w:lang w:val="en-US" w:eastAsia="zh-CN" w:bidi="ar-SA"/>
        </w:rPr>
        <w:t>一</w:t>
      </w:r>
      <w:r>
        <w:rPr>
          <w:rFonts w:hint="eastAsia" w:asciiTheme="minorEastAsia" w:hAnsiTheme="minorEastAsia" w:eastAsiaTheme="minorEastAsia" w:cstheme="minorEastAsia"/>
          <w:kern w:val="2"/>
          <w:sz w:val="18"/>
          <w:szCs w:val="24"/>
          <w:lang w:val="en-US" w:eastAsia="zh-CN" w:bidi="ar-SA"/>
        </w:rPr>
        <w:t>）发生</w:t>
      </w:r>
      <w:r>
        <w:rPr>
          <w:rFonts w:hint="eastAsia" w:asciiTheme="minorEastAsia" w:hAnsiTheme="minorEastAsia" w:cstheme="minorEastAsia"/>
          <w:kern w:val="2"/>
          <w:sz w:val="18"/>
          <w:szCs w:val="24"/>
          <w:lang w:val="en-US" w:eastAsia="zh-CN" w:bidi="ar-SA"/>
        </w:rPr>
        <w:t>一般</w:t>
      </w:r>
      <w:r>
        <w:rPr>
          <w:rFonts w:hint="eastAsia" w:asciiTheme="minorEastAsia" w:hAnsiTheme="minorEastAsia" w:eastAsiaTheme="minorEastAsia" w:cstheme="minorEastAsia"/>
          <w:kern w:val="2"/>
          <w:sz w:val="18"/>
          <w:szCs w:val="24"/>
          <w:lang w:val="en-US" w:eastAsia="zh-CN" w:bidi="ar-SA"/>
        </w:rPr>
        <w:t>事故的，处</w:t>
      </w:r>
      <w:r>
        <w:rPr>
          <w:rFonts w:hint="eastAsia" w:asciiTheme="minorEastAsia" w:hAnsiTheme="minorEastAsia" w:cstheme="minorEastAsia"/>
          <w:kern w:val="2"/>
          <w:sz w:val="18"/>
          <w:szCs w:val="24"/>
          <w:lang w:val="en-US" w:eastAsia="zh-CN" w:bidi="ar-SA"/>
        </w:rPr>
        <w:t>三十</w:t>
      </w:r>
      <w:r>
        <w:rPr>
          <w:rFonts w:hint="eastAsia" w:asciiTheme="minorEastAsia" w:hAnsiTheme="minorEastAsia" w:eastAsiaTheme="minorEastAsia" w:cstheme="minorEastAsia"/>
          <w:kern w:val="2"/>
          <w:sz w:val="18"/>
          <w:szCs w:val="24"/>
          <w:lang w:val="en-US" w:eastAsia="zh-CN" w:bidi="ar-SA"/>
        </w:rPr>
        <w:t>万元以上</w:t>
      </w:r>
      <w:r>
        <w:rPr>
          <w:rFonts w:hint="eastAsia" w:asciiTheme="minorEastAsia" w:hAnsiTheme="minorEastAsia" w:cstheme="minorEastAsia"/>
          <w:kern w:val="2"/>
          <w:sz w:val="18"/>
          <w:szCs w:val="24"/>
          <w:lang w:val="en-US" w:eastAsia="zh-CN" w:bidi="ar-SA"/>
        </w:rPr>
        <w:t>一</w:t>
      </w:r>
      <w:r>
        <w:rPr>
          <w:rFonts w:hint="eastAsia" w:asciiTheme="minorEastAsia" w:hAnsiTheme="minorEastAsia" w:eastAsiaTheme="minorEastAsia" w:cstheme="minorEastAsia"/>
          <w:kern w:val="2"/>
          <w:sz w:val="18"/>
          <w:szCs w:val="24"/>
          <w:lang w:val="en-US" w:eastAsia="zh-CN" w:bidi="ar-SA"/>
        </w:rPr>
        <w:t>百万元以下的罚款。</w:t>
      </w:r>
    </w:p>
  </w:footnote>
  <w:footnote w:id="13">
    <w:p w14:paraId="50E9040C">
      <w:pPr>
        <w:pStyle w:val="10"/>
        <w:snapToGrid w:val="0"/>
        <w:rPr>
          <w:rFonts w:hint="default" w:asciiTheme="minorEastAsia" w:hAnsiTheme="minorEastAsia" w:eastAsiaTheme="minorEastAsia" w:cstheme="minorEastAsia"/>
          <w:kern w:val="2"/>
          <w:sz w:val="18"/>
          <w:szCs w:val="24"/>
          <w:lang w:val="en-US" w:eastAsia="zh-CN" w:bidi="ar-SA"/>
        </w:rPr>
      </w:pPr>
      <w:r>
        <w:rPr>
          <w:rFonts w:hint="eastAsia" w:asciiTheme="minorEastAsia" w:hAnsiTheme="minorEastAsia" w:eastAsiaTheme="minorEastAsia" w:cstheme="minorEastAsia"/>
          <w:kern w:val="2"/>
          <w:sz w:val="18"/>
          <w:szCs w:val="24"/>
          <w:lang w:val="en-US" w:eastAsia="zh-CN" w:bidi="ar-SA"/>
        </w:rPr>
        <w:footnoteRef/>
      </w:r>
      <w:r>
        <w:rPr>
          <w:rFonts w:hint="eastAsia" w:asciiTheme="minorEastAsia" w:hAnsiTheme="minorEastAsia" w:eastAsiaTheme="minorEastAsia" w:cstheme="minorEastAsia"/>
          <w:kern w:val="2"/>
          <w:sz w:val="18"/>
          <w:szCs w:val="24"/>
          <w:lang w:val="en-US" w:eastAsia="zh-CN" w:bidi="ar-SA"/>
        </w:rPr>
        <w:t xml:space="preserve"> 《中华人民共和国安全生产法》</w:t>
      </w:r>
      <w:r>
        <w:rPr>
          <w:rFonts w:hint="eastAsia" w:asciiTheme="minorEastAsia" w:hAnsiTheme="minorEastAsia" w:eastAsiaTheme="minorEastAsia" w:cstheme="minorEastAsia"/>
          <w:b/>
          <w:bCs/>
          <w:kern w:val="2"/>
          <w:sz w:val="18"/>
          <w:szCs w:val="24"/>
          <w:lang w:val="en-US" w:eastAsia="zh-CN" w:bidi="ar-SA"/>
        </w:rPr>
        <w:t>第</w:t>
      </w:r>
      <w:r>
        <w:rPr>
          <w:rFonts w:hint="eastAsia" w:asciiTheme="minorEastAsia" w:hAnsiTheme="minorEastAsia" w:cstheme="minorEastAsia"/>
          <w:b/>
          <w:bCs/>
          <w:kern w:val="2"/>
          <w:sz w:val="18"/>
          <w:szCs w:val="24"/>
          <w:lang w:val="en-US" w:eastAsia="zh-CN" w:bidi="ar-SA"/>
        </w:rPr>
        <w:t>九</w:t>
      </w:r>
      <w:r>
        <w:rPr>
          <w:rFonts w:hint="eastAsia" w:asciiTheme="minorEastAsia" w:hAnsiTheme="minorEastAsia" w:eastAsiaTheme="minorEastAsia" w:cstheme="minorEastAsia"/>
          <w:b/>
          <w:bCs/>
          <w:kern w:val="2"/>
          <w:sz w:val="18"/>
          <w:szCs w:val="24"/>
          <w:lang w:val="en-US" w:eastAsia="zh-CN" w:bidi="ar-SA"/>
        </w:rPr>
        <w:t>十四条:</w:t>
      </w:r>
      <w:r>
        <w:rPr>
          <w:rFonts w:hint="eastAsia" w:asciiTheme="minorEastAsia" w:hAnsiTheme="minorEastAsia" w:eastAsiaTheme="minorEastAsia" w:cstheme="minorEastAsia"/>
          <w:kern w:val="2"/>
          <w:sz w:val="18"/>
          <w:szCs w:val="24"/>
          <w:lang w:val="en-US" w:eastAsia="zh-CN" w:bidi="ar-SA"/>
        </w:rPr>
        <w:t>生产经营单位的主要负责人未履行本法规定的安全生产管理职责的，责令限期改正，处二万元以上五万元以下的罚款；逾期未改正的，处五万元以上十万元以下的罚款，责令生产经营单位停产停业整顿。</w:t>
      </w:r>
      <w:r>
        <w:rPr>
          <w:rFonts w:hint="eastAsia" w:asciiTheme="minorEastAsia" w:hAnsiTheme="minorEastAsia" w:cstheme="minorEastAsia"/>
          <w:b/>
          <w:bCs/>
          <w:kern w:val="2"/>
          <w:sz w:val="18"/>
          <w:szCs w:val="24"/>
          <w:lang w:val="en-US" w:eastAsia="zh-CN" w:bidi="ar-SA"/>
        </w:rPr>
        <w:t>第一百零三条：</w:t>
      </w:r>
      <w:r>
        <w:rPr>
          <w:rFonts w:hint="eastAsia" w:asciiTheme="minorEastAsia" w:hAnsiTheme="minorEastAsia" w:eastAsiaTheme="minorEastAsia" w:cstheme="minorEastAsia"/>
          <w:kern w:val="2"/>
          <w:sz w:val="18"/>
          <w:szCs w:val="24"/>
          <w:lang w:val="en-US" w:eastAsia="zh-CN" w:bidi="ar-SA"/>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8"/>
    <w:footnote w:id="29"/>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001F7F7E"/>
    <w:rsid w:val="00225378"/>
    <w:rsid w:val="002C61F7"/>
    <w:rsid w:val="003D6656"/>
    <w:rsid w:val="004C27B2"/>
    <w:rsid w:val="0118231B"/>
    <w:rsid w:val="0126280F"/>
    <w:rsid w:val="013304EB"/>
    <w:rsid w:val="016C0FA1"/>
    <w:rsid w:val="01C54B55"/>
    <w:rsid w:val="01E07299"/>
    <w:rsid w:val="01FD7C7A"/>
    <w:rsid w:val="01FF1E15"/>
    <w:rsid w:val="025B17CF"/>
    <w:rsid w:val="026B1259"/>
    <w:rsid w:val="028642E4"/>
    <w:rsid w:val="02EE4FCD"/>
    <w:rsid w:val="02FE6E41"/>
    <w:rsid w:val="03253968"/>
    <w:rsid w:val="0328539C"/>
    <w:rsid w:val="03330C30"/>
    <w:rsid w:val="036439CE"/>
    <w:rsid w:val="03653EFA"/>
    <w:rsid w:val="03710AF1"/>
    <w:rsid w:val="037F48B5"/>
    <w:rsid w:val="03856C72"/>
    <w:rsid w:val="03856D69"/>
    <w:rsid w:val="03A57F3B"/>
    <w:rsid w:val="042E339D"/>
    <w:rsid w:val="046B42C6"/>
    <w:rsid w:val="048A19D8"/>
    <w:rsid w:val="049C1B9D"/>
    <w:rsid w:val="04C44C50"/>
    <w:rsid w:val="05180B4E"/>
    <w:rsid w:val="05573D16"/>
    <w:rsid w:val="057228FE"/>
    <w:rsid w:val="05761DD9"/>
    <w:rsid w:val="05A10002"/>
    <w:rsid w:val="05DF4C7F"/>
    <w:rsid w:val="05F8383D"/>
    <w:rsid w:val="061B577F"/>
    <w:rsid w:val="062277B0"/>
    <w:rsid w:val="06261EED"/>
    <w:rsid w:val="065510FB"/>
    <w:rsid w:val="06600DF9"/>
    <w:rsid w:val="06624721"/>
    <w:rsid w:val="069333C0"/>
    <w:rsid w:val="06C102E9"/>
    <w:rsid w:val="071B28F9"/>
    <w:rsid w:val="071C309C"/>
    <w:rsid w:val="07372051"/>
    <w:rsid w:val="075C73C2"/>
    <w:rsid w:val="07666493"/>
    <w:rsid w:val="0795047E"/>
    <w:rsid w:val="07A82944"/>
    <w:rsid w:val="07AF7E3A"/>
    <w:rsid w:val="07FB420C"/>
    <w:rsid w:val="0845254C"/>
    <w:rsid w:val="08A523F0"/>
    <w:rsid w:val="08BB3B65"/>
    <w:rsid w:val="08E6788B"/>
    <w:rsid w:val="09102B5A"/>
    <w:rsid w:val="093F51ED"/>
    <w:rsid w:val="09486335"/>
    <w:rsid w:val="095A5C8B"/>
    <w:rsid w:val="09975029"/>
    <w:rsid w:val="09A60DC8"/>
    <w:rsid w:val="09C83435"/>
    <w:rsid w:val="09CC2EAB"/>
    <w:rsid w:val="0A250854"/>
    <w:rsid w:val="0A300921"/>
    <w:rsid w:val="0A801619"/>
    <w:rsid w:val="0A93759F"/>
    <w:rsid w:val="0AA313F9"/>
    <w:rsid w:val="0ABC6E2D"/>
    <w:rsid w:val="0B3831C9"/>
    <w:rsid w:val="0B3C7C36"/>
    <w:rsid w:val="0B424B21"/>
    <w:rsid w:val="0B52745A"/>
    <w:rsid w:val="0B5C5BE2"/>
    <w:rsid w:val="0B5E2A33"/>
    <w:rsid w:val="0B5F56D3"/>
    <w:rsid w:val="0B7A42BB"/>
    <w:rsid w:val="0B7E024F"/>
    <w:rsid w:val="0BB355FF"/>
    <w:rsid w:val="0BE45BD8"/>
    <w:rsid w:val="0C177C63"/>
    <w:rsid w:val="0C8047B4"/>
    <w:rsid w:val="0C927091"/>
    <w:rsid w:val="0CF331B1"/>
    <w:rsid w:val="0CFD33F5"/>
    <w:rsid w:val="0D1F05FF"/>
    <w:rsid w:val="0D5B011C"/>
    <w:rsid w:val="0D74514D"/>
    <w:rsid w:val="0E0013EF"/>
    <w:rsid w:val="0E226B64"/>
    <w:rsid w:val="0E5B55E2"/>
    <w:rsid w:val="0E651252"/>
    <w:rsid w:val="0E9B1234"/>
    <w:rsid w:val="0EBE4E06"/>
    <w:rsid w:val="0EC2163C"/>
    <w:rsid w:val="0ECA22C7"/>
    <w:rsid w:val="0ECE5567"/>
    <w:rsid w:val="0F046820"/>
    <w:rsid w:val="0F371914"/>
    <w:rsid w:val="0FA45DAA"/>
    <w:rsid w:val="0FA543E9"/>
    <w:rsid w:val="0FA67D74"/>
    <w:rsid w:val="0FAC5576"/>
    <w:rsid w:val="0FCB577D"/>
    <w:rsid w:val="0FE91A0F"/>
    <w:rsid w:val="0FFF1A9C"/>
    <w:rsid w:val="10000C3E"/>
    <w:rsid w:val="102869DB"/>
    <w:rsid w:val="10374E70"/>
    <w:rsid w:val="107A434C"/>
    <w:rsid w:val="109E6C9D"/>
    <w:rsid w:val="110E01F4"/>
    <w:rsid w:val="111466EC"/>
    <w:rsid w:val="11331200"/>
    <w:rsid w:val="116D5993"/>
    <w:rsid w:val="11A55E09"/>
    <w:rsid w:val="11FA6155"/>
    <w:rsid w:val="126A56F2"/>
    <w:rsid w:val="12771D3B"/>
    <w:rsid w:val="1284367C"/>
    <w:rsid w:val="12952BFB"/>
    <w:rsid w:val="12AD5076"/>
    <w:rsid w:val="13266545"/>
    <w:rsid w:val="13BF31B2"/>
    <w:rsid w:val="13F45D55"/>
    <w:rsid w:val="13FC4407"/>
    <w:rsid w:val="143907A9"/>
    <w:rsid w:val="147E5144"/>
    <w:rsid w:val="14A12D99"/>
    <w:rsid w:val="14AF6F64"/>
    <w:rsid w:val="14DF51B9"/>
    <w:rsid w:val="14FA3435"/>
    <w:rsid w:val="15016B50"/>
    <w:rsid w:val="151B4D60"/>
    <w:rsid w:val="152139F9"/>
    <w:rsid w:val="1548367B"/>
    <w:rsid w:val="155B33AF"/>
    <w:rsid w:val="157B75AD"/>
    <w:rsid w:val="159B37AB"/>
    <w:rsid w:val="15C076B6"/>
    <w:rsid w:val="15D13353"/>
    <w:rsid w:val="15DD5B72"/>
    <w:rsid w:val="15F01725"/>
    <w:rsid w:val="16001A6E"/>
    <w:rsid w:val="1618304E"/>
    <w:rsid w:val="161B669A"/>
    <w:rsid w:val="162639BD"/>
    <w:rsid w:val="162647F4"/>
    <w:rsid w:val="163A7468"/>
    <w:rsid w:val="16450281"/>
    <w:rsid w:val="16691AFB"/>
    <w:rsid w:val="16723850"/>
    <w:rsid w:val="169721C5"/>
    <w:rsid w:val="16AF1C41"/>
    <w:rsid w:val="16CD3E38"/>
    <w:rsid w:val="16D927DD"/>
    <w:rsid w:val="171E4694"/>
    <w:rsid w:val="17463BEB"/>
    <w:rsid w:val="17487963"/>
    <w:rsid w:val="175D340E"/>
    <w:rsid w:val="17C31746"/>
    <w:rsid w:val="17D73287"/>
    <w:rsid w:val="1803071D"/>
    <w:rsid w:val="180526B5"/>
    <w:rsid w:val="18066F34"/>
    <w:rsid w:val="18463EA2"/>
    <w:rsid w:val="18634390"/>
    <w:rsid w:val="187C6B24"/>
    <w:rsid w:val="18B81F8A"/>
    <w:rsid w:val="18D94D16"/>
    <w:rsid w:val="192C753C"/>
    <w:rsid w:val="19346C3C"/>
    <w:rsid w:val="193D78C0"/>
    <w:rsid w:val="199F38AE"/>
    <w:rsid w:val="1A052C1D"/>
    <w:rsid w:val="1A0F6516"/>
    <w:rsid w:val="1A1039F9"/>
    <w:rsid w:val="1A295829"/>
    <w:rsid w:val="1A3B37AF"/>
    <w:rsid w:val="1A4A782D"/>
    <w:rsid w:val="1AE11844"/>
    <w:rsid w:val="1B0818E3"/>
    <w:rsid w:val="1B2A7EE2"/>
    <w:rsid w:val="1B416BA3"/>
    <w:rsid w:val="1B5E59A7"/>
    <w:rsid w:val="1BAD248A"/>
    <w:rsid w:val="1BE31ACF"/>
    <w:rsid w:val="1C226145"/>
    <w:rsid w:val="1C526663"/>
    <w:rsid w:val="1C542906"/>
    <w:rsid w:val="1C634313"/>
    <w:rsid w:val="1C9C225F"/>
    <w:rsid w:val="1CD742C7"/>
    <w:rsid w:val="1D6C3651"/>
    <w:rsid w:val="1D9A259A"/>
    <w:rsid w:val="1DA3096E"/>
    <w:rsid w:val="1DC6106A"/>
    <w:rsid w:val="1DCF66E8"/>
    <w:rsid w:val="1DDE56A7"/>
    <w:rsid w:val="1E312EFF"/>
    <w:rsid w:val="1E3A4E55"/>
    <w:rsid w:val="1E6257AE"/>
    <w:rsid w:val="1E7F6837"/>
    <w:rsid w:val="1EC734BD"/>
    <w:rsid w:val="1EE44415"/>
    <w:rsid w:val="1EE91A2B"/>
    <w:rsid w:val="1EFD7285"/>
    <w:rsid w:val="1F186F92"/>
    <w:rsid w:val="1F2927A9"/>
    <w:rsid w:val="1F553630"/>
    <w:rsid w:val="1F6E1F30"/>
    <w:rsid w:val="1FB1462D"/>
    <w:rsid w:val="1FD14F27"/>
    <w:rsid w:val="1FD476E5"/>
    <w:rsid w:val="1FF935A1"/>
    <w:rsid w:val="20315438"/>
    <w:rsid w:val="205E3EA7"/>
    <w:rsid w:val="20621A95"/>
    <w:rsid w:val="209912F0"/>
    <w:rsid w:val="20A83D72"/>
    <w:rsid w:val="20DE7DDC"/>
    <w:rsid w:val="20F97885"/>
    <w:rsid w:val="213543E6"/>
    <w:rsid w:val="214174ED"/>
    <w:rsid w:val="21470C8B"/>
    <w:rsid w:val="216B0347"/>
    <w:rsid w:val="21717AB6"/>
    <w:rsid w:val="218477E9"/>
    <w:rsid w:val="219F4623"/>
    <w:rsid w:val="21A8625D"/>
    <w:rsid w:val="21AD2C37"/>
    <w:rsid w:val="21AD4F92"/>
    <w:rsid w:val="21CA447C"/>
    <w:rsid w:val="21E32762"/>
    <w:rsid w:val="21FF50C2"/>
    <w:rsid w:val="2261757E"/>
    <w:rsid w:val="227117DF"/>
    <w:rsid w:val="22B97967"/>
    <w:rsid w:val="22C21D6B"/>
    <w:rsid w:val="236478D2"/>
    <w:rsid w:val="2378512C"/>
    <w:rsid w:val="2383647E"/>
    <w:rsid w:val="23B26890"/>
    <w:rsid w:val="23C3234D"/>
    <w:rsid w:val="23CC4CE6"/>
    <w:rsid w:val="24166017"/>
    <w:rsid w:val="244016C1"/>
    <w:rsid w:val="248E2062"/>
    <w:rsid w:val="24C76366"/>
    <w:rsid w:val="24E577D9"/>
    <w:rsid w:val="24FA6740"/>
    <w:rsid w:val="2502247F"/>
    <w:rsid w:val="25046582"/>
    <w:rsid w:val="25443147"/>
    <w:rsid w:val="254A328A"/>
    <w:rsid w:val="25521E61"/>
    <w:rsid w:val="257A33DD"/>
    <w:rsid w:val="2582242A"/>
    <w:rsid w:val="25A833C7"/>
    <w:rsid w:val="25B06DFF"/>
    <w:rsid w:val="25B74631"/>
    <w:rsid w:val="25CD1596"/>
    <w:rsid w:val="25D429F7"/>
    <w:rsid w:val="25E44CFA"/>
    <w:rsid w:val="25E72D4E"/>
    <w:rsid w:val="25F5515A"/>
    <w:rsid w:val="2604539D"/>
    <w:rsid w:val="26063582"/>
    <w:rsid w:val="261A4BC0"/>
    <w:rsid w:val="261C37FA"/>
    <w:rsid w:val="26302446"/>
    <w:rsid w:val="26325A66"/>
    <w:rsid w:val="26B97F35"/>
    <w:rsid w:val="26BD5C77"/>
    <w:rsid w:val="26F72DEE"/>
    <w:rsid w:val="274E68CF"/>
    <w:rsid w:val="27A209C9"/>
    <w:rsid w:val="27DF39CB"/>
    <w:rsid w:val="27F71D47"/>
    <w:rsid w:val="280128F8"/>
    <w:rsid w:val="281F026C"/>
    <w:rsid w:val="28305FD5"/>
    <w:rsid w:val="285E0D94"/>
    <w:rsid w:val="287F243A"/>
    <w:rsid w:val="28A27C17"/>
    <w:rsid w:val="28C51E7C"/>
    <w:rsid w:val="28D12483"/>
    <w:rsid w:val="28D64DCE"/>
    <w:rsid w:val="28FB65E3"/>
    <w:rsid w:val="29214463"/>
    <w:rsid w:val="294A2275"/>
    <w:rsid w:val="29D12F21"/>
    <w:rsid w:val="2A272CEE"/>
    <w:rsid w:val="2A467D32"/>
    <w:rsid w:val="2A812E0F"/>
    <w:rsid w:val="2A9F68E4"/>
    <w:rsid w:val="2AE9366F"/>
    <w:rsid w:val="2AED3A46"/>
    <w:rsid w:val="2B112F7C"/>
    <w:rsid w:val="2B812B79"/>
    <w:rsid w:val="2B911481"/>
    <w:rsid w:val="2BC43604"/>
    <w:rsid w:val="2BCA04EF"/>
    <w:rsid w:val="2BEE242F"/>
    <w:rsid w:val="2C2045B2"/>
    <w:rsid w:val="2C3744D4"/>
    <w:rsid w:val="2C5B6A12"/>
    <w:rsid w:val="2CAC763C"/>
    <w:rsid w:val="2CB87F4A"/>
    <w:rsid w:val="2CBC7A94"/>
    <w:rsid w:val="2CF41CC7"/>
    <w:rsid w:val="2CFB4CB8"/>
    <w:rsid w:val="2D12039F"/>
    <w:rsid w:val="2D285E15"/>
    <w:rsid w:val="2D4B38B1"/>
    <w:rsid w:val="2D512905"/>
    <w:rsid w:val="2D6A5739"/>
    <w:rsid w:val="2D6B7AAF"/>
    <w:rsid w:val="2DC25921"/>
    <w:rsid w:val="2DE8495E"/>
    <w:rsid w:val="2DF950BB"/>
    <w:rsid w:val="2E0B2DA8"/>
    <w:rsid w:val="2E642E7C"/>
    <w:rsid w:val="2F0D7070"/>
    <w:rsid w:val="2F1A5AA4"/>
    <w:rsid w:val="2F7610B9"/>
    <w:rsid w:val="2F7C5FA4"/>
    <w:rsid w:val="300F4C42"/>
    <w:rsid w:val="301663F8"/>
    <w:rsid w:val="30601421"/>
    <w:rsid w:val="3078676B"/>
    <w:rsid w:val="30A97A47"/>
    <w:rsid w:val="30B11C7D"/>
    <w:rsid w:val="30FD4EC2"/>
    <w:rsid w:val="3112096E"/>
    <w:rsid w:val="31796C3F"/>
    <w:rsid w:val="317B5B00"/>
    <w:rsid w:val="31B22151"/>
    <w:rsid w:val="321626E0"/>
    <w:rsid w:val="3254737C"/>
    <w:rsid w:val="3268762E"/>
    <w:rsid w:val="32721EB3"/>
    <w:rsid w:val="32893218"/>
    <w:rsid w:val="32B24ADE"/>
    <w:rsid w:val="32F7251A"/>
    <w:rsid w:val="32FE389F"/>
    <w:rsid w:val="33073BFD"/>
    <w:rsid w:val="330862E4"/>
    <w:rsid w:val="33244988"/>
    <w:rsid w:val="333E6817"/>
    <w:rsid w:val="333F507A"/>
    <w:rsid w:val="3348457A"/>
    <w:rsid w:val="33484B1B"/>
    <w:rsid w:val="3357359E"/>
    <w:rsid w:val="33656D4A"/>
    <w:rsid w:val="33704071"/>
    <w:rsid w:val="33F13284"/>
    <w:rsid w:val="34117602"/>
    <w:rsid w:val="343825C5"/>
    <w:rsid w:val="343F54C3"/>
    <w:rsid w:val="345707EA"/>
    <w:rsid w:val="349A75F8"/>
    <w:rsid w:val="34D4418C"/>
    <w:rsid w:val="34E645EB"/>
    <w:rsid w:val="34FA62E8"/>
    <w:rsid w:val="350C19D9"/>
    <w:rsid w:val="350D451A"/>
    <w:rsid w:val="350E769E"/>
    <w:rsid w:val="351C625F"/>
    <w:rsid w:val="352549E8"/>
    <w:rsid w:val="35396689"/>
    <w:rsid w:val="3550415A"/>
    <w:rsid w:val="3574669E"/>
    <w:rsid w:val="35A818A1"/>
    <w:rsid w:val="35B04BF9"/>
    <w:rsid w:val="35E61915"/>
    <w:rsid w:val="35E87EEF"/>
    <w:rsid w:val="35ED19A9"/>
    <w:rsid w:val="35EE629E"/>
    <w:rsid w:val="36145188"/>
    <w:rsid w:val="363A47EC"/>
    <w:rsid w:val="36C17FA6"/>
    <w:rsid w:val="36C97D20"/>
    <w:rsid w:val="36D13079"/>
    <w:rsid w:val="36D84407"/>
    <w:rsid w:val="374B6384"/>
    <w:rsid w:val="37C36E66"/>
    <w:rsid w:val="37D01583"/>
    <w:rsid w:val="37E23600"/>
    <w:rsid w:val="383229E9"/>
    <w:rsid w:val="384358B1"/>
    <w:rsid w:val="38683569"/>
    <w:rsid w:val="389D426B"/>
    <w:rsid w:val="38BD6AA0"/>
    <w:rsid w:val="38ED5C53"/>
    <w:rsid w:val="392B32DA"/>
    <w:rsid w:val="39761CD8"/>
    <w:rsid w:val="398166D9"/>
    <w:rsid w:val="39A60F9C"/>
    <w:rsid w:val="39BD78E5"/>
    <w:rsid w:val="39CD3FCC"/>
    <w:rsid w:val="39CE636B"/>
    <w:rsid w:val="3A1A70C9"/>
    <w:rsid w:val="3A2801BE"/>
    <w:rsid w:val="3ADD1FEC"/>
    <w:rsid w:val="3AE710BD"/>
    <w:rsid w:val="3AFE01B5"/>
    <w:rsid w:val="3B074AF8"/>
    <w:rsid w:val="3B111C96"/>
    <w:rsid w:val="3B1621C8"/>
    <w:rsid w:val="3B1D5D73"/>
    <w:rsid w:val="3B530501"/>
    <w:rsid w:val="3B5F50F7"/>
    <w:rsid w:val="3B6B3A9C"/>
    <w:rsid w:val="3B710987"/>
    <w:rsid w:val="3B985F13"/>
    <w:rsid w:val="3BB87056"/>
    <w:rsid w:val="3BBC502D"/>
    <w:rsid w:val="3BCB70C7"/>
    <w:rsid w:val="3C0651CD"/>
    <w:rsid w:val="3C266A7C"/>
    <w:rsid w:val="3C4C07CD"/>
    <w:rsid w:val="3C5B6581"/>
    <w:rsid w:val="3C795D45"/>
    <w:rsid w:val="3C83241C"/>
    <w:rsid w:val="3C8B2027"/>
    <w:rsid w:val="3CFB2CCD"/>
    <w:rsid w:val="3D0F2AA3"/>
    <w:rsid w:val="3D2F5FD0"/>
    <w:rsid w:val="3D5055AA"/>
    <w:rsid w:val="3D5B544A"/>
    <w:rsid w:val="3D605E5D"/>
    <w:rsid w:val="3D753E66"/>
    <w:rsid w:val="3D762284"/>
    <w:rsid w:val="3DB8289D"/>
    <w:rsid w:val="3DC311DC"/>
    <w:rsid w:val="3DDA7C48"/>
    <w:rsid w:val="3E4037B8"/>
    <w:rsid w:val="3E6B5B61"/>
    <w:rsid w:val="3E760BFA"/>
    <w:rsid w:val="3E9926CE"/>
    <w:rsid w:val="3EC05EAD"/>
    <w:rsid w:val="3EC31134"/>
    <w:rsid w:val="3EEC6CA2"/>
    <w:rsid w:val="3EFC4B84"/>
    <w:rsid w:val="3EFD24C0"/>
    <w:rsid w:val="3F3A56F0"/>
    <w:rsid w:val="3F760B43"/>
    <w:rsid w:val="3F7A1B09"/>
    <w:rsid w:val="3F7D12F6"/>
    <w:rsid w:val="3F8B221A"/>
    <w:rsid w:val="3FB5178A"/>
    <w:rsid w:val="3FE50B68"/>
    <w:rsid w:val="3FE536F1"/>
    <w:rsid w:val="408B0D62"/>
    <w:rsid w:val="408E056E"/>
    <w:rsid w:val="40A1792B"/>
    <w:rsid w:val="40BE1549"/>
    <w:rsid w:val="40CA0252"/>
    <w:rsid w:val="40D23C76"/>
    <w:rsid w:val="416F7BFE"/>
    <w:rsid w:val="41763F27"/>
    <w:rsid w:val="417D62D7"/>
    <w:rsid w:val="41BE41FA"/>
    <w:rsid w:val="41C45CB4"/>
    <w:rsid w:val="41E719A3"/>
    <w:rsid w:val="41E72FC5"/>
    <w:rsid w:val="421D53C4"/>
    <w:rsid w:val="422D7327"/>
    <w:rsid w:val="425F18E0"/>
    <w:rsid w:val="42947E86"/>
    <w:rsid w:val="42AC0E79"/>
    <w:rsid w:val="433F136A"/>
    <w:rsid w:val="437E7F53"/>
    <w:rsid w:val="43BB58B1"/>
    <w:rsid w:val="43BC23F3"/>
    <w:rsid w:val="43CE08D2"/>
    <w:rsid w:val="43E837B0"/>
    <w:rsid w:val="4403620D"/>
    <w:rsid w:val="4410643E"/>
    <w:rsid w:val="44520D71"/>
    <w:rsid w:val="447F1342"/>
    <w:rsid w:val="447F4114"/>
    <w:rsid w:val="448160DE"/>
    <w:rsid w:val="44823C05"/>
    <w:rsid w:val="449B0822"/>
    <w:rsid w:val="45137CCB"/>
    <w:rsid w:val="4521341D"/>
    <w:rsid w:val="45322F35"/>
    <w:rsid w:val="4537679D"/>
    <w:rsid w:val="453C583B"/>
    <w:rsid w:val="4542101B"/>
    <w:rsid w:val="455D2986"/>
    <w:rsid w:val="45763769"/>
    <w:rsid w:val="458C4D3B"/>
    <w:rsid w:val="45AC718B"/>
    <w:rsid w:val="45B93656"/>
    <w:rsid w:val="45DE130F"/>
    <w:rsid w:val="461A2AB3"/>
    <w:rsid w:val="46284E65"/>
    <w:rsid w:val="462C3E28"/>
    <w:rsid w:val="464F1586"/>
    <w:rsid w:val="465875E7"/>
    <w:rsid w:val="4688447E"/>
    <w:rsid w:val="46B05F74"/>
    <w:rsid w:val="46B44C14"/>
    <w:rsid w:val="474E7DCE"/>
    <w:rsid w:val="477B5067"/>
    <w:rsid w:val="477C2B8D"/>
    <w:rsid w:val="47A65E5C"/>
    <w:rsid w:val="47B0035D"/>
    <w:rsid w:val="47FF1762"/>
    <w:rsid w:val="480D6435"/>
    <w:rsid w:val="486C2C02"/>
    <w:rsid w:val="487C717F"/>
    <w:rsid w:val="487F59B9"/>
    <w:rsid w:val="48A73DFD"/>
    <w:rsid w:val="48C23CD3"/>
    <w:rsid w:val="48FB0EF9"/>
    <w:rsid w:val="493354CD"/>
    <w:rsid w:val="493B2329"/>
    <w:rsid w:val="497F6965"/>
    <w:rsid w:val="49C66341"/>
    <w:rsid w:val="49CF3448"/>
    <w:rsid w:val="49E95329"/>
    <w:rsid w:val="4A0F7D78"/>
    <w:rsid w:val="4A934476"/>
    <w:rsid w:val="4A966F56"/>
    <w:rsid w:val="4AEC1DD8"/>
    <w:rsid w:val="4B091ACD"/>
    <w:rsid w:val="4B4D6D1A"/>
    <w:rsid w:val="4B5314DF"/>
    <w:rsid w:val="4B5A4F93"/>
    <w:rsid w:val="4B993E6F"/>
    <w:rsid w:val="4BDB2ED5"/>
    <w:rsid w:val="4BE60F1D"/>
    <w:rsid w:val="4BF076A6"/>
    <w:rsid w:val="4BF22623"/>
    <w:rsid w:val="4BF6262F"/>
    <w:rsid w:val="4C1A515E"/>
    <w:rsid w:val="4C667968"/>
    <w:rsid w:val="4C7622A1"/>
    <w:rsid w:val="4C873CD1"/>
    <w:rsid w:val="4CA25F8E"/>
    <w:rsid w:val="4CCC470F"/>
    <w:rsid w:val="4CD178D6"/>
    <w:rsid w:val="4D7D7B4C"/>
    <w:rsid w:val="4D7F6F33"/>
    <w:rsid w:val="4D956757"/>
    <w:rsid w:val="4DAB6983"/>
    <w:rsid w:val="4DC53A07"/>
    <w:rsid w:val="4DE83F0B"/>
    <w:rsid w:val="4E5466E1"/>
    <w:rsid w:val="4E942743"/>
    <w:rsid w:val="4EA2737D"/>
    <w:rsid w:val="4EEA0D24"/>
    <w:rsid w:val="4F2064F4"/>
    <w:rsid w:val="4F264D23"/>
    <w:rsid w:val="4F2A6F54"/>
    <w:rsid w:val="4F320882"/>
    <w:rsid w:val="4F3364AA"/>
    <w:rsid w:val="4F392D34"/>
    <w:rsid w:val="4F610FE6"/>
    <w:rsid w:val="4F7504F2"/>
    <w:rsid w:val="4F7E56D3"/>
    <w:rsid w:val="4FCB2904"/>
    <w:rsid w:val="4FD07F1A"/>
    <w:rsid w:val="4FDA788F"/>
    <w:rsid w:val="4FF260E2"/>
    <w:rsid w:val="50306FB5"/>
    <w:rsid w:val="503C0D75"/>
    <w:rsid w:val="506F14E1"/>
    <w:rsid w:val="50AD3DB7"/>
    <w:rsid w:val="51440EDA"/>
    <w:rsid w:val="51901535"/>
    <w:rsid w:val="519D207E"/>
    <w:rsid w:val="51B03B5F"/>
    <w:rsid w:val="51E0360F"/>
    <w:rsid w:val="51F7178E"/>
    <w:rsid w:val="52181704"/>
    <w:rsid w:val="521909D0"/>
    <w:rsid w:val="525201AE"/>
    <w:rsid w:val="525C02A8"/>
    <w:rsid w:val="5282639C"/>
    <w:rsid w:val="52880638"/>
    <w:rsid w:val="52B4767F"/>
    <w:rsid w:val="52CA29FF"/>
    <w:rsid w:val="53130849"/>
    <w:rsid w:val="536C1D08"/>
    <w:rsid w:val="53730052"/>
    <w:rsid w:val="53887DEA"/>
    <w:rsid w:val="53DD1B53"/>
    <w:rsid w:val="546B0464"/>
    <w:rsid w:val="549459BA"/>
    <w:rsid w:val="54E22E8D"/>
    <w:rsid w:val="54E75714"/>
    <w:rsid w:val="551B3782"/>
    <w:rsid w:val="55306D65"/>
    <w:rsid w:val="55360B3F"/>
    <w:rsid w:val="5540169E"/>
    <w:rsid w:val="556F5ADF"/>
    <w:rsid w:val="55D63329"/>
    <w:rsid w:val="55FA0B6B"/>
    <w:rsid w:val="563334BB"/>
    <w:rsid w:val="564E08D4"/>
    <w:rsid w:val="56521689"/>
    <w:rsid w:val="56644F18"/>
    <w:rsid w:val="5681743F"/>
    <w:rsid w:val="5691627E"/>
    <w:rsid w:val="56A56043"/>
    <w:rsid w:val="56D402F0"/>
    <w:rsid w:val="573C5F32"/>
    <w:rsid w:val="5780017C"/>
    <w:rsid w:val="578A31A2"/>
    <w:rsid w:val="581643E3"/>
    <w:rsid w:val="581B5AAA"/>
    <w:rsid w:val="58552087"/>
    <w:rsid w:val="58B06B3A"/>
    <w:rsid w:val="58CB127E"/>
    <w:rsid w:val="595219A0"/>
    <w:rsid w:val="597C07CB"/>
    <w:rsid w:val="59A52769"/>
    <w:rsid w:val="5A195B8D"/>
    <w:rsid w:val="5A1E4CEC"/>
    <w:rsid w:val="5A2A6062"/>
    <w:rsid w:val="5A973EF7"/>
    <w:rsid w:val="5ACD5782"/>
    <w:rsid w:val="5AEA0A15"/>
    <w:rsid w:val="5B1C7CE6"/>
    <w:rsid w:val="5B2D0C2D"/>
    <w:rsid w:val="5B594E50"/>
    <w:rsid w:val="5B8D4F11"/>
    <w:rsid w:val="5BA51C9E"/>
    <w:rsid w:val="5BC87371"/>
    <w:rsid w:val="5BCB7CE3"/>
    <w:rsid w:val="5BE8247C"/>
    <w:rsid w:val="5BED3C02"/>
    <w:rsid w:val="5C5F55BE"/>
    <w:rsid w:val="5C9546E3"/>
    <w:rsid w:val="5C9C40B8"/>
    <w:rsid w:val="5CB52971"/>
    <w:rsid w:val="5CBB1CA1"/>
    <w:rsid w:val="5CE312A0"/>
    <w:rsid w:val="5E084D23"/>
    <w:rsid w:val="5E0F7E5F"/>
    <w:rsid w:val="5E2002BE"/>
    <w:rsid w:val="5E826883"/>
    <w:rsid w:val="5EAA353D"/>
    <w:rsid w:val="5EAE58CA"/>
    <w:rsid w:val="5EE45CD7"/>
    <w:rsid w:val="5F2913F5"/>
    <w:rsid w:val="5F2E0C90"/>
    <w:rsid w:val="5F940086"/>
    <w:rsid w:val="5F9E149B"/>
    <w:rsid w:val="5FC03B07"/>
    <w:rsid w:val="5FC34763"/>
    <w:rsid w:val="5FF437B1"/>
    <w:rsid w:val="5FF73DBD"/>
    <w:rsid w:val="600A3F4F"/>
    <w:rsid w:val="60116111"/>
    <w:rsid w:val="60367925"/>
    <w:rsid w:val="60581AFC"/>
    <w:rsid w:val="606453B9"/>
    <w:rsid w:val="60651FB9"/>
    <w:rsid w:val="60B82A30"/>
    <w:rsid w:val="60BD0047"/>
    <w:rsid w:val="60BE55B5"/>
    <w:rsid w:val="60DB671F"/>
    <w:rsid w:val="60DE32FF"/>
    <w:rsid w:val="60DE43A3"/>
    <w:rsid w:val="60E317A8"/>
    <w:rsid w:val="60F86642"/>
    <w:rsid w:val="61720E31"/>
    <w:rsid w:val="618C26AF"/>
    <w:rsid w:val="619D3036"/>
    <w:rsid w:val="61B47957"/>
    <w:rsid w:val="62693DB7"/>
    <w:rsid w:val="62C43229"/>
    <w:rsid w:val="62F15D5A"/>
    <w:rsid w:val="63285CA9"/>
    <w:rsid w:val="632C14B3"/>
    <w:rsid w:val="637677C5"/>
    <w:rsid w:val="639F57E1"/>
    <w:rsid w:val="639F7B43"/>
    <w:rsid w:val="63E8362C"/>
    <w:rsid w:val="63E83A59"/>
    <w:rsid w:val="64044497"/>
    <w:rsid w:val="642557A3"/>
    <w:rsid w:val="64371EBE"/>
    <w:rsid w:val="64444E34"/>
    <w:rsid w:val="645E5BA1"/>
    <w:rsid w:val="64746C6E"/>
    <w:rsid w:val="64B736C8"/>
    <w:rsid w:val="64D92F75"/>
    <w:rsid w:val="64DB6CED"/>
    <w:rsid w:val="64EF39B2"/>
    <w:rsid w:val="652C7549"/>
    <w:rsid w:val="65644F35"/>
    <w:rsid w:val="65815AE7"/>
    <w:rsid w:val="65847385"/>
    <w:rsid w:val="658C6239"/>
    <w:rsid w:val="65962C14"/>
    <w:rsid w:val="65CE2AA4"/>
    <w:rsid w:val="65EA0AA8"/>
    <w:rsid w:val="65F362B8"/>
    <w:rsid w:val="665270C0"/>
    <w:rsid w:val="66882EA5"/>
    <w:rsid w:val="668B029F"/>
    <w:rsid w:val="66967370"/>
    <w:rsid w:val="67381006"/>
    <w:rsid w:val="673E1F7E"/>
    <w:rsid w:val="67627252"/>
    <w:rsid w:val="676B07FC"/>
    <w:rsid w:val="676B6497"/>
    <w:rsid w:val="67890C82"/>
    <w:rsid w:val="67F60B3E"/>
    <w:rsid w:val="67FB08F4"/>
    <w:rsid w:val="68024591"/>
    <w:rsid w:val="681C69AD"/>
    <w:rsid w:val="6832131A"/>
    <w:rsid w:val="68613E1C"/>
    <w:rsid w:val="6898260D"/>
    <w:rsid w:val="68D67EF7"/>
    <w:rsid w:val="68F465CF"/>
    <w:rsid w:val="68F92209"/>
    <w:rsid w:val="68FB5BB0"/>
    <w:rsid w:val="69342E70"/>
    <w:rsid w:val="693D7F76"/>
    <w:rsid w:val="69601EB7"/>
    <w:rsid w:val="69766FE4"/>
    <w:rsid w:val="69BB0E9B"/>
    <w:rsid w:val="6A002749"/>
    <w:rsid w:val="6A130CD7"/>
    <w:rsid w:val="6A3749C6"/>
    <w:rsid w:val="6A406EA3"/>
    <w:rsid w:val="6A550267"/>
    <w:rsid w:val="6A5F5FDF"/>
    <w:rsid w:val="6A8D126F"/>
    <w:rsid w:val="6B1B7E43"/>
    <w:rsid w:val="6B5B0B88"/>
    <w:rsid w:val="6B657311"/>
    <w:rsid w:val="6B6712DB"/>
    <w:rsid w:val="6B7A1587"/>
    <w:rsid w:val="6B831A71"/>
    <w:rsid w:val="6BA266BD"/>
    <w:rsid w:val="6BCC7750"/>
    <w:rsid w:val="6BE4292B"/>
    <w:rsid w:val="6BE55C49"/>
    <w:rsid w:val="6BE93003"/>
    <w:rsid w:val="6BEE7306"/>
    <w:rsid w:val="6C094140"/>
    <w:rsid w:val="6C2947E2"/>
    <w:rsid w:val="6C2B3654"/>
    <w:rsid w:val="6C5C6966"/>
    <w:rsid w:val="6C6D0B73"/>
    <w:rsid w:val="6C7F571D"/>
    <w:rsid w:val="6C9F6852"/>
    <w:rsid w:val="6CA64085"/>
    <w:rsid w:val="6CAD5413"/>
    <w:rsid w:val="6D140FEE"/>
    <w:rsid w:val="6D1A0192"/>
    <w:rsid w:val="6D3B4F62"/>
    <w:rsid w:val="6D504C7D"/>
    <w:rsid w:val="6D621E5B"/>
    <w:rsid w:val="6D7221B9"/>
    <w:rsid w:val="6DAA3701"/>
    <w:rsid w:val="6DC36A53"/>
    <w:rsid w:val="6DD426B1"/>
    <w:rsid w:val="6DE00420"/>
    <w:rsid w:val="6DE54739"/>
    <w:rsid w:val="6E0A5EF3"/>
    <w:rsid w:val="6E101CDB"/>
    <w:rsid w:val="6E283E10"/>
    <w:rsid w:val="6E2967A3"/>
    <w:rsid w:val="6E2B6633"/>
    <w:rsid w:val="6E364F94"/>
    <w:rsid w:val="6E75745E"/>
    <w:rsid w:val="6F172728"/>
    <w:rsid w:val="6F2D283B"/>
    <w:rsid w:val="6F370FC4"/>
    <w:rsid w:val="6F461F6C"/>
    <w:rsid w:val="6FBC0DC1"/>
    <w:rsid w:val="6FBD195B"/>
    <w:rsid w:val="70132D7B"/>
    <w:rsid w:val="7016507D"/>
    <w:rsid w:val="70441BEA"/>
    <w:rsid w:val="709452D7"/>
    <w:rsid w:val="710B2708"/>
    <w:rsid w:val="711517D9"/>
    <w:rsid w:val="71AF5789"/>
    <w:rsid w:val="71D13952"/>
    <w:rsid w:val="71FA3841"/>
    <w:rsid w:val="723111D9"/>
    <w:rsid w:val="72460CC8"/>
    <w:rsid w:val="727F4C6A"/>
    <w:rsid w:val="72C745D3"/>
    <w:rsid w:val="72CC4119"/>
    <w:rsid w:val="72DD6326"/>
    <w:rsid w:val="72FF629D"/>
    <w:rsid w:val="731A30D6"/>
    <w:rsid w:val="73263829"/>
    <w:rsid w:val="732C1547"/>
    <w:rsid w:val="73317DD8"/>
    <w:rsid w:val="733E5017"/>
    <w:rsid w:val="734C0DB6"/>
    <w:rsid w:val="7358120C"/>
    <w:rsid w:val="73784B40"/>
    <w:rsid w:val="738B35A9"/>
    <w:rsid w:val="73972979"/>
    <w:rsid w:val="73A76509"/>
    <w:rsid w:val="73B02C2D"/>
    <w:rsid w:val="73BA21C4"/>
    <w:rsid w:val="73E13BF4"/>
    <w:rsid w:val="73E66414"/>
    <w:rsid w:val="73E91E65"/>
    <w:rsid w:val="73E94097"/>
    <w:rsid w:val="74047655"/>
    <w:rsid w:val="74654825"/>
    <w:rsid w:val="748051BB"/>
    <w:rsid w:val="7487654A"/>
    <w:rsid w:val="748D0583"/>
    <w:rsid w:val="748E3453"/>
    <w:rsid w:val="74B51309"/>
    <w:rsid w:val="74CE5D15"/>
    <w:rsid w:val="74D3178F"/>
    <w:rsid w:val="74F50668"/>
    <w:rsid w:val="752E4C17"/>
    <w:rsid w:val="75371D9F"/>
    <w:rsid w:val="753F16EA"/>
    <w:rsid w:val="75526B58"/>
    <w:rsid w:val="759A22AD"/>
    <w:rsid w:val="75BA6C76"/>
    <w:rsid w:val="75DA6B4D"/>
    <w:rsid w:val="76867F1E"/>
    <w:rsid w:val="76913A3E"/>
    <w:rsid w:val="76A8799B"/>
    <w:rsid w:val="76AD7DBE"/>
    <w:rsid w:val="76CB03BC"/>
    <w:rsid w:val="76D0242A"/>
    <w:rsid w:val="76E71522"/>
    <w:rsid w:val="76E77774"/>
    <w:rsid w:val="770F2D9C"/>
    <w:rsid w:val="771009CE"/>
    <w:rsid w:val="771A18F7"/>
    <w:rsid w:val="776B197D"/>
    <w:rsid w:val="776E1C43"/>
    <w:rsid w:val="777F175A"/>
    <w:rsid w:val="77B238DE"/>
    <w:rsid w:val="77D644C1"/>
    <w:rsid w:val="77EF130F"/>
    <w:rsid w:val="78357321"/>
    <w:rsid w:val="78632A79"/>
    <w:rsid w:val="78874D6A"/>
    <w:rsid w:val="78B35B5F"/>
    <w:rsid w:val="78CA10FB"/>
    <w:rsid w:val="78CB1B1E"/>
    <w:rsid w:val="78CC3EAC"/>
    <w:rsid w:val="79183C14"/>
    <w:rsid w:val="791D3F2D"/>
    <w:rsid w:val="793D7B1F"/>
    <w:rsid w:val="79803E7D"/>
    <w:rsid w:val="799314ED"/>
    <w:rsid w:val="79B100DF"/>
    <w:rsid w:val="79B80F53"/>
    <w:rsid w:val="79DE4E5E"/>
    <w:rsid w:val="7A7B08FF"/>
    <w:rsid w:val="7AAE5D2F"/>
    <w:rsid w:val="7AC83418"/>
    <w:rsid w:val="7AE02279"/>
    <w:rsid w:val="7AF05B67"/>
    <w:rsid w:val="7AF64234"/>
    <w:rsid w:val="7B5B428C"/>
    <w:rsid w:val="7B7612F7"/>
    <w:rsid w:val="7BA56DA9"/>
    <w:rsid w:val="7BF546E1"/>
    <w:rsid w:val="7C521865"/>
    <w:rsid w:val="7C5C650E"/>
    <w:rsid w:val="7C5F732D"/>
    <w:rsid w:val="7C6A0C2B"/>
    <w:rsid w:val="7C7013B8"/>
    <w:rsid w:val="7C920181"/>
    <w:rsid w:val="7CAA5868"/>
    <w:rsid w:val="7CB023B6"/>
    <w:rsid w:val="7CEC35E6"/>
    <w:rsid w:val="7CF90201"/>
    <w:rsid w:val="7D0F22BD"/>
    <w:rsid w:val="7D133070"/>
    <w:rsid w:val="7D3905FD"/>
    <w:rsid w:val="7D474AC8"/>
    <w:rsid w:val="7D4D0BA1"/>
    <w:rsid w:val="7D6349FD"/>
    <w:rsid w:val="7E2022C2"/>
    <w:rsid w:val="7E4C6DEA"/>
    <w:rsid w:val="7F0709B3"/>
    <w:rsid w:val="7F0A553A"/>
    <w:rsid w:val="7F15276C"/>
    <w:rsid w:val="7F48086E"/>
    <w:rsid w:val="7F5B07F1"/>
    <w:rsid w:val="7F7868D2"/>
    <w:rsid w:val="7FED0E5F"/>
    <w:rsid w:val="FEDF7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20"/>
    </w:pPr>
    <w:rPr>
      <w:sz w:val="32"/>
      <w:szCs w:val="32"/>
    </w:rPr>
  </w:style>
  <w:style w:type="paragraph" w:styleId="5">
    <w:name w:val="Body Text Indent"/>
    <w:basedOn w:val="1"/>
    <w:qFormat/>
    <w:uiPriority w:val="99"/>
    <w:pPr>
      <w:spacing w:after="120"/>
      <w:ind w:left="420" w:leftChars="200"/>
    </w:pPr>
  </w:style>
  <w:style w:type="paragraph" w:styleId="6">
    <w:name w:val="Plain Text"/>
    <w:basedOn w:val="1"/>
    <w:unhideWhenUsed/>
    <w:qFormat/>
    <w:uiPriority w:val="99"/>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footnote text"/>
    <w:basedOn w:val="1"/>
    <w:qFormat/>
    <w:uiPriority w:val="0"/>
    <w:pPr>
      <w:snapToGrid w:val="0"/>
      <w:jc w:val="left"/>
    </w:pPr>
    <w:rPr>
      <w:sz w:val="18"/>
    </w:rPr>
  </w:style>
  <w:style w:type="paragraph" w:styleId="11">
    <w:name w:val="toc 2"/>
    <w:basedOn w:val="1"/>
    <w:next w:val="1"/>
    <w:qFormat/>
    <w:uiPriority w:val="0"/>
    <w:pPr>
      <w:ind w:left="42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5"/>
    <w:next w:val="1"/>
    <w:qFormat/>
    <w:uiPriority w:val="99"/>
    <w:pPr>
      <w:ind w:firstLine="42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character" w:styleId="20">
    <w:name w:val="Hyperlink"/>
    <w:basedOn w:val="17"/>
    <w:qFormat/>
    <w:uiPriority w:val="0"/>
    <w:rPr>
      <w:color w:val="0000FF"/>
      <w:u w:val="single"/>
    </w:rPr>
  </w:style>
  <w:style w:type="character" w:styleId="21">
    <w:name w:val="footnote reference"/>
    <w:basedOn w:val="17"/>
    <w:qFormat/>
    <w:uiPriority w:val="0"/>
    <w:rPr>
      <w:vertAlign w:val="superscript"/>
    </w:rPr>
  </w:style>
  <w:style w:type="paragraph" w:customStyle="1" w:styleId="22">
    <w:name w:val="正文缩进1"/>
    <w:basedOn w:val="1"/>
    <w:qFormat/>
    <w:uiPriority w:val="0"/>
    <w:pPr>
      <w:ind w:firstLine="420" w:firstLineChars="200"/>
    </w:pPr>
    <w:rPr>
      <w:rFonts w:ascii="Times New Roman" w:hAnsi="Times New Roman" w:eastAsia="宋体" w:cs="Times New Roman"/>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 w:type="paragraph" w:customStyle="1" w:styleId="25">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5095</Words>
  <Characters>5713</Characters>
  <Lines>0</Lines>
  <Paragraphs>0</Paragraphs>
  <TotalTime>11</TotalTime>
  <ScaleCrop>false</ScaleCrop>
  <LinksUpToDate>false</LinksUpToDate>
  <CharactersWithSpaces>5773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2024-04-06T09:49:00Z</dcterms:created>
  <dc:creator>Administrator</dc:creator>
  <cp:lastModifiedBy>吕诗炳</cp:lastModifiedBy>
  <dcterms:modified xsi:type="dcterms:W3CDTF">2025-12-25T02:59:23Z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D5D96413A9E8421B8FA462C18DF2D348_13</vt:lpwstr>
  </property>
  <property fmtid="{D5CDD505-2E9C-101B-9397-08002B2CF9AE}" pid="4" name="KSOTemplateDocerSaveRecord">
    <vt:lpwstr>eyJoZGlkIjoiMzEwNTM5NzYwMDRjMzkwZTVkZjY2ODkwMGIxNGU0OTUiLCJ1c2VySWQiOiI2MDI2NDQ0NTYifQ==</vt:lpwstr>
  </property>
</Properties>
</file>